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6801BD" w:rsidRPr="006801BD">
        <w:rPr>
          <w:bCs/>
          <w:noProof w:val="0"/>
          <w:sz w:val="24"/>
          <w:szCs w:val="24"/>
        </w:rPr>
        <w:t>R2-1702780</w:t>
      </w:r>
    </w:p>
    <w:p w:rsidR="00CD4C7B" w:rsidRPr="0081516B" w:rsidRDefault="00940212" w:rsidP="00CD4C7B">
      <w:pPr>
        <w:pStyle w:val="Header"/>
        <w:tabs>
          <w:tab w:val="right" w:pos="9639"/>
        </w:tabs>
        <w:rPr>
          <w:bCs/>
          <w:noProof w:val="0"/>
          <w:sz w:val="24"/>
          <w:szCs w:val="24"/>
          <w:lang w:val="de-DE"/>
        </w:rPr>
      </w:pPr>
      <w:r w:rsidRPr="0081516B">
        <w:rPr>
          <w:rFonts w:eastAsia="SimSun"/>
          <w:noProof w:val="0"/>
          <w:sz w:val="24"/>
          <w:szCs w:val="24"/>
          <w:lang w:val="de-DE" w:eastAsia="zh-CN"/>
        </w:rPr>
        <w:t>Spokane</w:t>
      </w:r>
      <w:r w:rsidR="00C24650" w:rsidRPr="0081516B">
        <w:rPr>
          <w:rFonts w:eastAsia="SimSun"/>
          <w:noProof w:val="0"/>
          <w:sz w:val="24"/>
          <w:szCs w:val="24"/>
          <w:lang w:val="de-DE" w:eastAsia="zh-CN"/>
        </w:rPr>
        <w:t xml:space="preserve">, </w:t>
      </w:r>
      <w:r w:rsidRPr="0081516B">
        <w:rPr>
          <w:rFonts w:eastAsia="SimSun"/>
          <w:noProof w:val="0"/>
          <w:sz w:val="24"/>
          <w:szCs w:val="24"/>
          <w:lang w:val="de-DE" w:eastAsia="zh-CN"/>
        </w:rPr>
        <w:t>USA</w:t>
      </w:r>
      <w:r w:rsidR="00C24650" w:rsidRPr="0081516B">
        <w:rPr>
          <w:rFonts w:eastAsia="SimSun"/>
          <w:noProof w:val="0"/>
          <w:sz w:val="24"/>
          <w:szCs w:val="24"/>
          <w:lang w:val="de-DE" w:eastAsia="zh-CN"/>
        </w:rPr>
        <w:t xml:space="preserve">, </w:t>
      </w:r>
      <w:r w:rsidR="00813245" w:rsidRPr="0081516B">
        <w:rPr>
          <w:rFonts w:eastAsia="SimSun"/>
          <w:noProof w:val="0"/>
          <w:sz w:val="24"/>
          <w:szCs w:val="24"/>
          <w:lang w:val="de-DE" w:eastAsia="zh-CN"/>
        </w:rPr>
        <w:t>3</w:t>
      </w:r>
      <w:r w:rsidR="00C92967" w:rsidRPr="0081516B">
        <w:rPr>
          <w:rFonts w:eastAsia="SimSun"/>
          <w:noProof w:val="0"/>
          <w:sz w:val="24"/>
          <w:szCs w:val="24"/>
          <w:lang w:val="de-DE" w:eastAsia="zh-CN"/>
        </w:rPr>
        <w:t xml:space="preserve"> - </w:t>
      </w:r>
      <w:r w:rsidR="00813245" w:rsidRPr="0081516B">
        <w:rPr>
          <w:rFonts w:eastAsia="SimSun"/>
          <w:noProof w:val="0"/>
          <w:sz w:val="24"/>
          <w:szCs w:val="24"/>
          <w:lang w:val="de-DE" w:eastAsia="zh-CN"/>
        </w:rPr>
        <w:t>7</w:t>
      </w:r>
      <w:r w:rsidR="00C92967" w:rsidRPr="0081516B">
        <w:rPr>
          <w:rFonts w:eastAsia="SimSun"/>
          <w:noProof w:val="0"/>
          <w:sz w:val="24"/>
          <w:szCs w:val="24"/>
          <w:lang w:val="de-DE" w:eastAsia="zh-CN"/>
        </w:rPr>
        <w:t xml:space="preserve"> </w:t>
      </w:r>
      <w:r w:rsidR="00813245" w:rsidRPr="0081516B">
        <w:rPr>
          <w:rFonts w:eastAsia="SimSun"/>
          <w:noProof w:val="0"/>
          <w:sz w:val="24"/>
          <w:szCs w:val="24"/>
          <w:lang w:val="de-DE" w:eastAsia="zh-CN"/>
        </w:rPr>
        <w:t xml:space="preserve">April </w:t>
      </w:r>
      <w:r w:rsidR="00C24650" w:rsidRPr="0081516B">
        <w:rPr>
          <w:rFonts w:eastAsia="SimSun"/>
          <w:noProof w:val="0"/>
          <w:sz w:val="24"/>
          <w:szCs w:val="24"/>
          <w:lang w:val="de-DE" w:eastAsia="zh-CN"/>
        </w:rPr>
        <w:t>201</w:t>
      </w:r>
      <w:r w:rsidR="00936071" w:rsidRPr="0081516B">
        <w:rPr>
          <w:rFonts w:eastAsia="SimSun"/>
          <w:noProof w:val="0"/>
          <w:sz w:val="24"/>
          <w:szCs w:val="24"/>
          <w:lang w:val="de-DE" w:eastAsia="zh-CN"/>
        </w:rPr>
        <w:t>7</w:t>
      </w:r>
    </w:p>
    <w:p w:rsidR="00CD4C7B" w:rsidRPr="0081516B" w:rsidRDefault="00CD4C7B" w:rsidP="00CD4C7B">
      <w:pPr>
        <w:pStyle w:val="Header"/>
        <w:rPr>
          <w:bCs/>
          <w:noProof w:val="0"/>
          <w:sz w:val="24"/>
          <w:lang w:val="de-DE"/>
        </w:rPr>
      </w:pPr>
    </w:p>
    <w:p w:rsidR="00CD4C7B" w:rsidRPr="0081516B" w:rsidRDefault="00CD4C7B" w:rsidP="00CD4C7B">
      <w:pPr>
        <w:pStyle w:val="Header"/>
        <w:rPr>
          <w:bCs/>
          <w:noProof w:val="0"/>
          <w:sz w:val="24"/>
          <w:lang w:val="de-DE"/>
        </w:rPr>
      </w:pPr>
    </w:p>
    <w:p w:rsidR="00CD4C7B" w:rsidRPr="0081516B" w:rsidRDefault="00CD4C7B" w:rsidP="00CD4C7B">
      <w:pPr>
        <w:pStyle w:val="CRCoverPage"/>
        <w:tabs>
          <w:tab w:val="left" w:pos="1985"/>
        </w:tabs>
        <w:rPr>
          <w:rFonts w:cs="Arial"/>
          <w:b/>
          <w:bCs/>
          <w:sz w:val="24"/>
          <w:lang w:val="de-DE" w:eastAsia="ja-JP"/>
        </w:rPr>
      </w:pPr>
      <w:r w:rsidRPr="0081516B">
        <w:rPr>
          <w:rFonts w:cs="Arial"/>
          <w:b/>
          <w:bCs/>
          <w:sz w:val="24"/>
          <w:lang w:val="de-DE"/>
        </w:rPr>
        <w:t>Agenda item:</w:t>
      </w:r>
      <w:r w:rsidRPr="0081516B">
        <w:rPr>
          <w:rFonts w:cs="Arial"/>
          <w:b/>
          <w:bCs/>
          <w:sz w:val="24"/>
          <w:lang w:val="de-DE"/>
        </w:rPr>
        <w:tab/>
      </w:r>
      <w:r w:rsidR="006801BD" w:rsidRPr="006801BD">
        <w:rPr>
          <w:rFonts w:cs="Arial"/>
          <w:b/>
          <w:bCs/>
          <w:sz w:val="24"/>
          <w:lang w:val="de-DE" w:eastAsia="ja-JP"/>
        </w:rPr>
        <w:t>10.4.2.3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0490">
        <w:rPr>
          <w:rFonts w:ascii="Arial" w:hAnsi="Arial" w:cs="Arial"/>
          <w:b/>
          <w:bCs/>
          <w:sz w:val="24"/>
        </w:rPr>
        <w:t>Evaluation of Uplink Access using Paging Indicators</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801BD">
        <w:rPr>
          <w:rFonts w:ascii="Arial" w:hAnsi="Arial" w:cs="Arial"/>
          <w:b/>
          <w:bCs/>
          <w:sz w:val="24"/>
        </w:rPr>
        <w:t>NR_newRAT (Release 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D8623E" w:rsidRDefault="00084D39" w:rsidP="00357A40">
      <w:r>
        <w:t xml:space="preserve">In </w:t>
      </w:r>
      <w:r w:rsidR="006D0686">
        <w:t xml:space="preserve">RAN </w:t>
      </w:r>
      <w:r>
        <w:t>2</w:t>
      </w:r>
      <w:r w:rsidR="006D0686">
        <w:t xml:space="preserve"> AdHoc </w:t>
      </w:r>
      <w:r w:rsidR="00357A40">
        <w:t xml:space="preserve">meeting on NR </w:t>
      </w:r>
      <w:r w:rsidR="00357A40">
        <w:fldChar w:fldCharType="begin"/>
      </w:r>
      <w:r w:rsidR="00357A40">
        <w:instrText xml:space="preserve"> REF _Ref477161846 \r \h </w:instrText>
      </w:r>
      <w:r w:rsidR="00357A40">
        <w:fldChar w:fldCharType="separate"/>
      </w:r>
      <w:r w:rsidR="00357A40">
        <w:t>[1]</w:t>
      </w:r>
      <w:r w:rsidR="00357A40">
        <w:fldChar w:fldCharType="end"/>
      </w:r>
      <w:r>
        <w:t>, paging has been discussed and the following agreements were made:</w:t>
      </w:r>
    </w:p>
    <w:p w:rsidR="004F6709" w:rsidRDefault="004F6709" w:rsidP="00357A40"/>
    <w:p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Agreements</w:t>
      </w:r>
    </w:p>
    <w:p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1: UE in RRC_IDLE and RRC_INACTVE state monitors paging/notification every DRX cycle. </w:t>
      </w:r>
    </w:p>
    <w:p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2: UE monitors one paging occasion per DRX cycle. Paging occasion is the time interval over which a paging message is transmitted by gNB. </w:t>
      </w:r>
    </w:p>
    <w:p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3: The length of DRX cycle is configurable. A default DRX cycle length is provided in system information. Additionally, a UE specific DRX cycle length can also be provided to UE in dedicated signalling.</w:t>
      </w:r>
    </w:p>
    <w:p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4: The number of paging occasions in the DRX cycle is configurable and provided in system information.</w:t>
      </w:r>
    </w:p>
    <w:p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5: If multiple paging occasions are configured by network in the DRX cycle then UEs can be distributed to these paging occasions based on UE ID.</w:t>
      </w:r>
    </w:p>
    <w:p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6: RAN2 understanding is that paging can be transmitted at least using beam sweeping </w:t>
      </w:r>
      <w:r w:rsidRPr="00635854">
        <w:rPr>
          <w:rFonts w:ascii="Times New Roman" w:eastAsia="Times New Roman" w:hAnsi="Times New Roman"/>
          <w:szCs w:val="20"/>
          <w:highlight w:val="yellow"/>
          <w:lang w:eastAsia="en-US"/>
        </w:rPr>
        <w:t>(content of paging may be a paging indicator or the paging message, FFS)</w:t>
      </w:r>
    </w:p>
    <w:p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7: Paging occasion can consists of multiple time slots (e.g. subframe or OFDM symbol). (Multiple time slots enables transmission of paging using a different set of DL TX beam(s) in each time slot, or could enable repetition - RAN1 decision).</w:t>
      </w:r>
    </w:p>
    <w:p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8: The number of time slots in a paging occasion is provided in system information.</w:t>
      </w:r>
    </w:p>
    <w:p w:rsidR="004F6709" w:rsidRDefault="004F6709" w:rsidP="00CD4C7B"/>
    <w:p w:rsidR="003E3665" w:rsidRDefault="00110810" w:rsidP="00CD4C7B">
      <w:r>
        <w:t>The</w:t>
      </w:r>
      <w:r w:rsidR="00357A40">
        <w:t xml:space="preserve"> content of the paging is still open and may be a paging indicator or the paging message, as highlighted in point 6.</w:t>
      </w:r>
      <w:r w:rsidR="00DE5C6A">
        <w:t xml:space="preserve"> </w:t>
      </w:r>
    </w:p>
    <w:p w:rsidR="008721FC" w:rsidRDefault="00DE5C6A" w:rsidP="00CD4C7B">
      <w:r>
        <w:t xml:space="preserve">The paging indicator procedure for NR has been </w:t>
      </w:r>
      <w:r w:rsidR="00453A95">
        <w:t xml:space="preserve">proposed </w:t>
      </w:r>
      <w:r>
        <w:t xml:space="preserve">in </w:t>
      </w:r>
      <w:r>
        <w:fldChar w:fldCharType="begin"/>
      </w:r>
      <w:r>
        <w:instrText xml:space="preserve"> REF _Ref477162623 \r \h </w:instrText>
      </w:r>
      <w:r>
        <w:fldChar w:fldCharType="separate"/>
      </w:r>
      <w:r>
        <w:t>[2]</w:t>
      </w:r>
      <w:r>
        <w:fldChar w:fldCharType="end"/>
      </w:r>
      <w:r w:rsidR="00C83E34">
        <w:t xml:space="preserve"> to reduce the downlink (DL) radio resource overhead caused by beam sweeping in high frequencies and </w:t>
      </w:r>
      <w:r w:rsidR="001A11D2">
        <w:t xml:space="preserve">to </w:t>
      </w:r>
      <w:r w:rsidR="00C83E34">
        <w:t>achieve a better trade-off between DL and uplink (UL) radio resource overhead</w:t>
      </w:r>
      <w:r w:rsidR="004A6398">
        <w:t xml:space="preserve">. Herein, instead of sending the paging message containing the long </w:t>
      </w:r>
      <w:r w:rsidR="009A5257">
        <w:t>UE IDs</w:t>
      </w:r>
      <w:r w:rsidR="004A6398">
        <w:t>, e.g., S-TMSI, a group of UEs monitor the same paging indicator in a Paging Occasion (PO)</w:t>
      </w:r>
      <w:r w:rsidR="00043453">
        <w:t xml:space="preserve">. The paging indicator </w:t>
      </w:r>
      <w:r w:rsidR="000A304E">
        <w:t xml:space="preserve">could be </w:t>
      </w:r>
      <w:r w:rsidR="001A11D2">
        <w:t xml:space="preserve">a specific bit position in a bitmap </w:t>
      </w:r>
      <w:r w:rsidR="00EF1786">
        <w:t xml:space="preserve">which is </w:t>
      </w:r>
      <w:r w:rsidR="007E14EA">
        <w:t>similar to that</w:t>
      </w:r>
      <w:r w:rsidR="001A11D2">
        <w:t xml:space="preserve"> specified </w:t>
      </w:r>
      <w:r w:rsidR="003E1C4C">
        <w:t>in</w:t>
      </w:r>
      <w:r w:rsidR="001A11D2">
        <w:t xml:space="preserve"> 3G</w:t>
      </w:r>
      <w:r w:rsidR="00594A9B">
        <w:t xml:space="preserve"> </w:t>
      </w:r>
      <w:r w:rsidR="00594A9B">
        <w:fldChar w:fldCharType="begin"/>
      </w:r>
      <w:r w:rsidR="00594A9B">
        <w:instrText xml:space="preserve"> REF _Ref457464949 \r \h </w:instrText>
      </w:r>
      <w:r w:rsidR="00594A9B">
        <w:fldChar w:fldCharType="separate"/>
      </w:r>
      <w:r w:rsidR="00594A9B">
        <w:t>[3]</w:t>
      </w:r>
      <w:r w:rsidR="00594A9B">
        <w:fldChar w:fldCharType="end"/>
      </w:r>
      <w:r w:rsidR="001A11D2">
        <w:t>.</w:t>
      </w:r>
      <w:r w:rsidR="008721FC" w:rsidRPr="008721FC">
        <w:t xml:space="preserve"> </w:t>
      </w:r>
      <w:r w:rsidR="008721FC">
        <w:t xml:space="preserve">For paging a UE, the network sets the paging indicator of which the UE monitors, and all the UEs monitoring the same paging indicator </w:t>
      </w:r>
      <w:r w:rsidR="00622E84">
        <w:t xml:space="preserve">will </w:t>
      </w:r>
      <w:r w:rsidR="008721FC">
        <w:t>perform UL access. The UE that is paged will continue the UL access procedure for receiving e.g., an incoming call/data transfer, and the remaining UEs will receive a false paging indication</w:t>
      </w:r>
      <w:r w:rsidR="00C75627">
        <w:t>.</w:t>
      </w:r>
    </w:p>
    <w:p w:rsidR="00D8623E" w:rsidRPr="006E13D1" w:rsidRDefault="004F6A2E" w:rsidP="00CD4C7B">
      <w:r>
        <w:t>I</w:t>
      </w:r>
      <w:r w:rsidR="00DE5C6A">
        <w:t>n the last RAN 2 meeting # 97</w:t>
      </w:r>
      <w:r w:rsidR="008721FC">
        <w:t>, s</w:t>
      </w:r>
      <w:r w:rsidR="00110810">
        <w:t>ome companies have raised th</w:t>
      </w:r>
      <w:r w:rsidR="001830E8">
        <w:t>eir concern</w:t>
      </w:r>
      <w:r w:rsidR="00E02BA9">
        <w:t>s</w:t>
      </w:r>
      <w:r w:rsidR="00110810">
        <w:t xml:space="preserve"> </w:t>
      </w:r>
      <w:r w:rsidR="0048576F">
        <w:t xml:space="preserve">about the extent of </w:t>
      </w:r>
      <w:r w:rsidR="00860033">
        <w:t xml:space="preserve">UE </w:t>
      </w:r>
      <w:r w:rsidR="00110810">
        <w:t>UL access</w:t>
      </w:r>
      <w:r w:rsidR="00EF3046">
        <w:t xml:space="preserve"> using paging indicator</w:t>
      </w:r>
      <w:r w:rsidR="003F5DD6">
        <w:t>s</w:t>
      </w:r>
      <w:r w:rsidR="008721FC">
        <w:t xml:space="preserve">. To address this </w:t>
      </w:r>
      <w:r w:rsidR="00692AA9">
        <w:t>issue</w:t>
      </w:r>
      <w:r w:rsidR="008721FC">
        <w:t xml:space="preserve">, we quantify </w:t>
      </w:r>
      <w:r w:rsidR="00BA4D0C">
        <w:t xml:space="preserve">in this contribution </w:t>
      </w:r>
      <w:r w:rsidR="008721FC">
        <w:t>the number of UEs performing UL access per PO</w:t>
      </w:r>
      <w:r w:rsidR="009E09C5">
        <w:t xml:space="preserve"> in a cell</w:t>
      </w:r>
      <w:r w:rsidR="00BA4D0C">
        <w:t xml:space="preserve"> for different</w:t>
      </w:r>
      <w:r w:rsidR="00D8623E">
        <w:t xml:space="preserve"> paging</w:t>
      </w:r>
      <w:r w:rsidR="00BA4D0C">
        <w:t xml:space="preserve"> configuration parameters.</w:t>
      </w:r>
      <w:r w:rsidR="00110810">
        <w:t xml:space="preserve"> </w:t>
      </w:r>
    </w:p>
    <w:p w:rsidR="00CD4C7B" w:rsidRPr="006E13D1" w:rsidRDefault="00CD4C7B" w:rsidP="00CD4C7B">
      <w:pPr>
        <w:pStyle w:val="Heading1"/>
      </w:pPr>
      <w:r w:rsidRPr="006E13D1">
        <w:lastRenderedPageBreak/>
        <w:t>2</w:t>
      </w:r>
      <w:r w:rsidRPr="006E13D1">
        <w:tab/>
      </w:r>
      <w:r w:rsidR="007951F2">
        <w:t>Evaluation Methodology</w:t>
      </w:r>
    </w:p>
    <w:p w:rsidR="00446044" w:rsidRPr="00446044" w:rsidRDefault="009E09C5" w:rsidP="001706FB">
      <w:r>
        <w:t>In this section, we explain the methodology used to evaluate the number of UEs performing UL access per PO in a cell.</w:t>
      </w:r>
      <w:r w:rsidR="00446044">
        <w:t xml:space="preserve"> </w:t>
      </w:r>
    </w:p>
    <w:p w:rsidR="00446044" w:rsidRDefault="00D00565" w:rsidP="00446044">
      <w:r>
        <w:t>T</w:t>
      </w:r>
      <w:r w:rsidR="0023304D">
        <w:t>he definitions of some parameters used in the calculations</w:t>
      </w:r>
      <w:r>
        <w:t xml:space="preserve"> are provide</w:t>
      </w:r>
      <w:r w:rsidR="00F701D3">
        <w:t>d</w:t>
      </w:r>
      <w:r>
        <w:t xml:space="preserve"> in the following</w:t>
      </w:r>
      <w:r w:rsidR="0023304D">
        <w:t>:</w:t>
      </w:r>
    </w:p>
    <w:p w:rsidR="0023304D" w:rsidRDefault="0023304D" w:rsidP="0023304D">
      <w:pPr>
        <w:pStyle w:val="ListParagraph"/>
        <w:numPr>
          <w:ilvl w:val="0"/>
          <w:numId w:val="6"/>
        </w:numPr>
      </w:pPr>
      <w:r>
        <w:t>The total number of UEs that are monitoring the paging channel in a cell is given by N</w:t>
      </w:r>
      <w:r w:rsidRPr="0023304D">
        <w:rPr>
          <w:vertAlign w:val="subscript"/>
        </w:rPr>
        <w:t>c</w:t>
      </w:r>
      <w:r>
        <w:t>.</w:t>
      </w:r>
    </w:p>
    <w:p w:rsidR="0023304D" w:rsidRDefault="0023304D" w:rsidP="0023304D">
      <w:pPr>
        <w:pStyle w:val="ListParagraph"/>
        <w:numPr>
          <w:ilvl w:val="0"/>
          <w:numId w:val="6"/>
        </w:numPr>
      </w:pPr>
      <w:r>
        <w:t>The DRX cycle o</w:t>
      </w:r>
      <w:r w:rsidR="00FC7725">
        <w:t>f the UEs is given by T</w:t>
      </w:r>
      <w:r>
        <w:t>. It is assumed that all the UEs have the same default DRX value.</w:t>
      </w:r>
    </w:p>
    <w:p w:rsidR="00317BEB" w:rsidRDefault="0023304D" w:rsidP="00300B1C">
      <w:pPr>
        <w:pStyle w:val="ListParagraph"/>
        <w:numPr>
          <w:ilvl w:val="0"/>
          <w:numId w:val="6"/>
        </w:numPr>
      </w:pPr>
      <w:r>
        <w:t>The number of POs per DRX cycle is given by the para</w:t>
      </w:r>
      <w:r w:rsidR="003E5584">
        <w:t>met</w:t>
      </w:r>
      <w:r w:rsidR="00300B1C">
        <w:t>er nB as in LTE, e.g., nB = 1/32</w:t>
      </w:r>
      <w:r w:rsidR="003E5584">
        <w:t xml:space="preserve"> </w:t>
      </w:r>
      <w:r>
        <w:t>T, 1/16 T, …</w:t>
      </w:r>
      <w:r w:rsidR="00707A07">
        <w:t>, 4T where T is</w:t>
      </w:r>
      <w:r w:rsidR="00701144">
        <w:t xml:space="preserve"> given in terms of radio frames of 10 ms.</w:t>
      </w:r>
      <w:r w:rsidR="003E5584">
        <w:t xml:space="preserve"> For instance, if T = 320 </w:t>
      </w:r>
      <w:r w:rsidR="008B62D9">
        <w:t xml:space="preserve">ms, or equivalently 32 radio frames, </w:t>
      </w:r>
      <w:r w:rsidR="003E5584">
        <w:t xml:space="preserve">nB = </w:t>
      </w:r>
      <w:r w:rsidR="005B4DAE">
        <w:t>1/2</w:t>
      </w:r>
      <w:r w:rsidR="003E5584">
        <w:t xml:space="preserve"> T = 16 POs within one DRX cycle.</w:t>
      </w:r>
    </w:p>
    <w:p w:rsidR="0023304D" w:rsidRDefault="00317BEB" w:rsidP="0023304D">
      <w:r>
        <w:t>Ea</w:t>
      </w:r>
      <w:r w:rsidR="00E5497D">
        <w:t xml:space="preserve">ch UE in the cell belongs to a Paging </w:t>
      </w:r>
      <w:r>
        <w:t>G</w:t>
      </w:r>
      <w:r w:rsidR="00E5497D">
        <w:t>roup (PG)</w:t>
      </w:r>
      <w:r>
        <w:t xml:space="preserve"> whose ID can be computed, for instance, as follows:</w:t>
      </w:r>
    </w:p>
    <w:p w:rsidR="00002468" w:rsidRPr="00317BEB" w:rsidRDefault="00317BEB" w:rsidP="00317BEB">
      <w:pPr>
        <w:rPr>
          <w:lang w:val="de-DE"/>
        </w:rPr>
      </w:pPr>
      <m:oMathPara>
        <m:oMathParaPr>
          <m:jc m:val="center"/>
        </m:oMathParaPr>
        <m:oMath>
          <m:r>
            <w:rPr>
              <w:rFonts w:ascii="Cambria Math" w:hAnsi="Cambria Math"/>
              <w:sz w:val="24"/>
              <w:szCs w:val="24"/>
              <w:lang w:val="de-DE"/>
            </w:rPr>
            <m:t xml:space="preserve">PG ID =IMSI mod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r>
            <w:rPr>
              <w:rFonts w:ascii="Cambria Math" w:hAnsi="Cambria Math"/>
              <w:sz w:val="24"/>
              <w:szCs w:val="24"/>
              <w:lang w:val="de-DE"/>
            </w:rPr>
            <m:t xml:space="preserve"> ,           (1)</m:t>
          </m:r>
        </m:oMath>
      </m:oMathPara>
    </w:p>
    <w:p w:rsidR="001459FF" w:rsidRDefault="00317BEB" w:rsidP="0023304D">
      <w:r>
        <w:t xml:space="preserve">where </w:t>
      </w:r>
      <w:r w:rsidR="006A1A19">
        <w:t>IMSI denotes</w:t>
      </w:r>
      <w:r>
        <w:t xml:space="preserve"> International Mobile Subscriber Identity </w:t>
      </w:r>
      <w:r w:rsidR="006A1A19">
        <w:t>an</w:t>
      </w:r>
      <w:r>
        <w:t>d</w:t>
      </w:r>
      <w:r w:rsidR="006A1A19">
        <w:t xml:space="preserve"> N</w:t>
      </w:r>
      <w:r w:rsidR="006A1A19" w:rsidRPr="00E341FD">
        <w:rPr>
          <w:vertAlign w:val="subscript"/>
        </w:rPr>
        <w:t>g</w:t>
      </w:r>
      <w:r>
        <w:t xml:space="preserve"> the total number </w:t>
      </w:r>
      <w:r w:rsidR="00C7524C">
        <w:t xml:space="preserve">of UE groups. </w:t>
      </w:r>
    </w:p>
    <w:p w:rsidR="00317BEB" w:rsidRPr="001459FF" w:rsidRDefault="00C7524C" w:rsidP="0023304D">
      <w:r>
        <w:t xml:space="preserve">Due to the random nature of the IMSI, the UEs in the cell are assumed to be distributed evenly over all PG IDs. It could happen that one PG ID has more UEs </w:t>
      </w:r>
      <w:r w:rsidR="00CD469D">
        <w:t xml:space="preserve">than others, but </w:t>
      </w:r>
      <w:r w:rsidR="00F23501">
        <w:t>for high N</w:t>
      </w:r>
      <w:r w:rsidR="00F23501" w:rsidRPr="00E341FD">
        <w:rPr>
          <w:vertAlign w:val="subscript"/>
        </w:rPr>
        <w:t>g</w:t>
      </w:r>
      <w:r w:rsidR="00F23501">
        <w:t xml:space="preserve"> </w:t>
      </w:r>
      <w:r w:rsidR="00E341FD">
        <w:t xml:space="preserve">value </w:t>
      </w:r>
      <w:r w:rsidR="00CD469D">
        <w:t xml:space="preserve">the probability </w:t>
      </w:r>
      <w:r w:rsidR="00F23501">
        <w:t>of having a high</w:t>
      </w:r>
      <w:r w:rsidR="00CD469D">
        <w:t xml:space="preserve"> difference </w:t>
      </w:r>
      <w:r w:rsidR="00F23501">
        <w:t xml:space="preserve">in </w:t>
      </w:r>
      <w:r w:rsidR="00CD469D">
        <w:t xml:space="preserve">the number of UEs per PG is </w:t>
      </w:r>
      <w:r w:rsidR="00F23501">
        <w:t>too small</w:t>
      </w:r>
      <w:r w:rsidR="00CD469D">
        <w:t>.</w:t>
      </w:r>
      <w:r w:rsidR="001459FF">
        <w:t xml:space="preserve"> Accordingly, the number N</w:t>
      </w:r>
      <w:r w:rsidR="001459FF" w:rsidRPr="001459FF">
        <w:rPr>
          <w:vertAlign w:val="subscript"/>
        </w:rPr>
        <w:t>p</w:t>
      </w:r>
      <w:r w:rsidR="001459FF">
        <w:rPr>
          <w:vertAlign w:val="subscript"/>
        </w:rPr>
        <w:t xml:space="preserve"> </w:t>
      </w:r>
      <w:r w:rsidR="001459FF">
        <w:t>of UEs per group is computed as follows</w:t>
      </w:r>
    </w:p>
    <w:p w:rsidR="00485F0D" w:rsidRPr="00485F0D" w:rsidRDefault="00F563EA" w:rsidP="0023304D">
      <w:pPr>
        <w:rPr>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den>
          </m:f>
          <m:r>
            <w:rPr>
              <w:rFonts w:ascii="Cambria Math" w:hAnsi="Cambria Math"/>
              <w:sz w:val="24"/>
              <w:szCs w:val="24"/>
              <w:lang w:val="de-DE"/>
            </w:rPr>
            <m:t xml:space="preserve"> .         (2)</m:t>
          </m:r>
        </m:oMath>
      </m:oMathPara>
    </w:p>
    <w:p w:rsidR="00317BEB" w:rsidRPr="008B62D9" w:rsidRDefault="001459FF" w:rsidP="0023304D">
      <w:r>
        <w:t>The N</w:t>
      </w:r>
      <w:r w:rsidRPr="001459FF">
        <w:rPr>
          <w:vertAlign w:val="subscript"/>
        </w:rPr>
        <w:t>g</w:t>
      </w:r>
      <w:r>
        <w:rPr>
          <w:vertAlign w:val="subscript"/>
        </w:rPr>
        <w:t xml:space="preserve"> </w:t>
      </w:r>
      <w:r>
        <w:t>groups of UEs can be distributed equally over all POs within a DRX cycle. As such, the number N</w:t>
      </w:r>
      <w:r w:rsidRPr="00E341FD">
        <w:rPr>
          <w:vertAlign w:val="subscript"/>
        </w:rPr>
        <w:t>g</w:t>
      </w:r>
      <w:r>
        <w:rPr>
          <w:vertAlign w:val="subscript"/>
        </w:rPr>
        <w:t xml:space="preserve">,PO </w:t>
      </w:r>
      <w:r w:rsidR="008B62D9">
        <w:rPr>
          <w:vertAlign w:val="subscript"/>
        </w:rPr>
        <w:t xml:space="preserve"> </w:t>
      </w:r>
      <w:r w:rsidR="008B62D9">
        <w:t>of groups monitoring the same PO is given by</w:t>
      </w:r>
    </w:p>
    <w:p w:rsidR="00317BEB" w:rsidRPr="008B62D9" w:rsidRDefault="00F563EA"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g,PO</m:t>
              </m:r>
            </m:sub>
          </m:sSub>
          <m:r>
            <w:rPr>
              <w:rFonts w:ascii="Cambria Math" w:hAnsi="Cambria Math"/>
              <w:sz w:val="24"/>
              <w:szCs w:val="24"/>
              <w:lang w:val="de-DE"/>
            </w:rPr>
            <m:t xml:space="preserve">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num>
            <m:den>
              <m:r>
                <w:rPr>
                  <w:rFonts w:ascii="Cambria Math" w:hAnsi="Cambria Math"/>
                  <w:sz w:val="24"/>
                  <w:szCs w:val="24"/>
                  <w:lang w:val="de-DE"/>
                </w:rPr>
                <m:t>nB</m:t>
              </m:r>
            </m:den>
          </m:f>
          <m:r>
            <w:rPr>
              <w:rFonts w:ascii="Cambria Math" w:hAnsi="Cambria Math"/>
              <w:sz w:val="24"/>
              <w:szCs w:val="24"/>
              <w:lang w:val="de-DE"/>
            </w:rPr>
            <m:t xml:space="preserve"> .       (3)</m:t>
          </m:r>
        </m:oMath>
      </m:oMathPara>
    </w:p>
    <w:p w:rsidR="008B62D9" w:rsidRDefault="008B62D9" w:rsidP="0023304D">
      <w:r>
        <w:t>The length of the bitmap used in the DL paging is determined by N</w:t>
      </w:r>
      <w:r w:rsidRPr="008B62D9">
        <w:rPr>
          <w:vertAlign w:val="subscript"/>
        </w:rPr>
        <w:t>g,PO</w:t>
      </w:r>
      <w:r>
        <w:t>. For instance, if N</w:t>
      </w:r>
      <w:r w:rsidRPr="008B62D9">
        <w:rPr>
          <w:vertAlign w:val="subscript"/>
        </w:rPr>
        <w:t>g,PO</w:t>
      </w:r>
      <w:r>
        <w:rPr>
          <w:vertAlign w:val="subscript"/>
        </w:rPr>
        <w:t xml:space="preserve"> </w:t>
      </w:r>
      <w:r>
        <w:t xml:space="preserve">= </w:t>
      </w:r>
      <w:r w:rsidR="000548D8">
        <w:t>32</w:t>
      </w:r>
      <w:r>
        <w:t xml:space="preserve">, then </w:t>
      </w:r>
      <w:r w:rsidR="000548D8">
        <w:t xml:space="preserve">32 </w:t>
      </w:r>
      <w:r>
        <w:t>bits are needed in DL where each PG in a PO would monitor</w:t>
      </w:r>
      <w:r w:rsidR="006079D0">
        <w:t xml:space="preserve"> one specific bit of the bitmap, e.g., PG 1 monitor the first bit, PG 2 the second bit and so on.</w:t>
      </w:r>
      <w:r w:rsidR="00C36733">
        <w:t xml:space="preserve"> </w:t>
      </w:r>
      <w:r w:rsidR="005D1799">
        <w:t xml:space="preserve">The details on how the UE maps its PG to a specific bit of the bitmap is </w:t>
      </w:r>
      <w:r w:rsidR="00B02677">
        <w:t>FFS.</w:t>
      </w:r>
    </w:p>
    <w:p w:rsidR="005119FF" w:rsidRPr="005119FF" w:rsidRDefault="005119FF" w:rsidP="0023304D">
      <w:r>
        <w:t>Let g denote the number of PGs that are paged in a PO, i.e., g = 1, …, N</w:t>
      </w:r>
      <w:r w:rsidRPr="001459FF">
        <w:rPr>
          <w:vertAlign w:val="subscript"/>
        </w:rPr>
        <w:t>g</w:t>
      </w:r>
      <w:r w:rsidR="00550B5C">
        <w:rPr>
          <w:vertAlign w:val="subscript"/>
        </w:rPr>
        <w:t>,</w:t>
      </w:r>
      <w:r>
        <w:rPr>
          <w:vertAlign w:val="subscript"/>
        </w:rPr>
        <w:t xml:space="preserve">PO. </w:t>
      </w:r>
      <w:r>
        <w:t xml:space="preserve">The total number </w:t>
      </w:r>
      <w:r w:rsidR="009E0AA1">
        <w:t>N</w:t>
      </w:r>
      <w:r w:rsidR="009E0AA1">
        <w:rPr>
          <w:vertAlign w:val="subscript"/>
        </w:rPr>
        <w:t xml:space="preserve">a </w:t>
      </w:r>
      <w:r>
        <w:t xml:space="preserve">of UEs that will perform UL access per PO is denoted by </w:t>
      </w:r>
    </w:p>
    <w:p w:rsidR="005119FF" w:rsidRPr="005119FF" w:rsidRDefault="00F563EA"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a</m:t>
              </m:r>
            </m:sub>
          </m:sSub>
          <m:r>
            <w:rPr>
              <w:rFonts w:ascii="Cambria Math" w:hAnsi="Cambria Math"/>
              <w:sz w:val="24"/>
              <w:szCs w:val="24"/>
              <w:lang w:val="de-DE"/>
            </w:rPr>
            <m:t xml:space="preserve"> = g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 g∙</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den>
          </m:f>
          <m:r>
            <w:rPr>
              <w:rFonts w:ascii="Cambria Math" w:hAnsi="Cambria Math"/>
              <w:sz w:val="24"/>
              <w:szCs w:val="24"/>
              <w:lang w:val="de-DE"/>
            </w:rPr>
            <m:t xml:space="preserve">  .   (4)   </m:t>
          </m:r>
        </m:oMath>
      </m:oMathPara>
    </w:p>
    <w:p w:rsidR="00B84651" w:rsidRDefault="00071ED9" w:rsidP="0023304D">
      <w:r>
        <w:t xml:space="preserve">For a fixed nB, </w:t>
      </w:r>
      <w:r w:rsidR="00536D5C">
        <w:t>c</w:t>
      </w:r>
      <w:r w:rsidR="00550B5C">
        <w:t>onfiguring a higher value of N</w:t>
      </w:r>
      <w:r w:rsidR="00550B5C" w:rsidRPr="00E341FD">
        <w:rPr>
          <w:vertAlign w:val="subscript"/>
        </w:rPr>
        <w:t>g</w:t>
      </w:r>
      <w:r w:rsidR="00550B5C">
        <w:rPr>
          <w:vertAlign w:val="subscript"/>
        </w:rPr>
        <w:t xml:space="preserve"> </w:t>
      </w:r>
      <w:r w:rsidR="00550B5C">
        <w:t>would decrease the number of UE performing UL access per PO</w:t>
      </w:r>
      <w:r w:rsidR="00F957D2">
        <w:t xml:space="preserve">, see </w:t>
      </w:r>
      <w:r w:rsidR="002F6193">
        <w:t xml:space="preserve">Eq. </w:t>
      </w:r>
      <w:r w:rsidR="00F957D2">
        <w:t>(</w:t>
      </w:r>
      <w:r w:rsidR="002F6193">
        <w:t>4</w:t>
      </w:r>
      <w:r w:rsidR="00F957D2">
        <w:t>),</w:t>
      </w:r>
      <w:r w:rsidR="00550B5C">
        <w:t xml:space="preserve"> at the expense of an increase in N</w:t>
      </w:r>
      <w:r w:rsidR="00550B5C" w:rsidRPr="00E341FD">
        <w:rPr>
          <w:vertAlign w:val="subscript"/>
        </w:rPr>
        <w:t>g</w:t>
      </w:r>
      <w:r w:rsidR="00550B5C">
        <w:rPr>
          <w:vertAlign w:val="subscript"/>
        </w:rPr>
        <w:t>, PO</w:t>
      </w:r>
      <w:r w:rsidR="00F957D2">
        <w:t xml:space="preserve">, see Eq. (3), </w:t>
      </w:r>
      <w:r w:rsidR="00550B5C">
        <w:t>indicating the length of the DL bitmap. Thus, the value of N</w:t>
      </w:r>
      <w:r w:rsidR="00550B5C" w:rsidRPr="00E341FD">
        <w:rPr>
          <w:vertAlign w:val="subscript"/>
        </w:rPr>
        <w:t>g</w:t>
      </w:r>
      <w:r w:rsidR="00550B5C">
        <w:rPr>
          <w:vertAlign w:val="subscript"/>
        </w:rPr>
        <w:t xml:space="preserve"> </w:t>
      </w:r>
      <w:r w:rsidR="00550B5C">
        <w:t>controls the trade-off between the DL</w:t>
      </w:r>
      <w:r w:rsidR="0030554E">
        <w:t xml:space="preserve"> and UL radio resource overhead for a fixed nB.</w:t>
      </w:r>
      <w:r w:rsidR="00550B5C">
        <w:t xml:space="preserve"> </w:t>
      </w:r>
    </w:p>
    <w:p w:rsidR="008B62D9" w:rsidRPr="00AE00E1" w:rsidRDefault="008B62D9" w:rsidP="0023304D">
      <w:r>
        <w:t xml:space="preserve">In the worst case, all the </w:t>
      </w:r>
      <w:r w:rsidR="00A57E29">
        <w:t>PGs of a PO are paged, i.e., g = N</w:t>
      </w:r>
      <w:r w:rsidR="00A57E29" w:rsidRPr="001459FF">
        <w:rPr>
          <w:vertAlign w:val="subscript"/>
        </w:rPr>
        <w:t>g</w:t>
      </w:r>
      <w:r w:rsidR="00A57E29">
        <w:rPr>
          <w:vertAlign w:val="subscript"/>
        </w:rPr>
        <w:t xml:space="preserve">,PO. </w:t>
      </w:r>
      <w:r w:rsidR="00A57E29">
        <w:t>In this case</w:t>
      </w:r>
      <w:r w:rsidR="00AE00E1">
        <w:t xml:space="preserve">, the maximum </w:t>
      </w:r>
      <w:r w:rsidR="003D33C7">
        <w:t>number N</w:t>
      </w:r>
      <w:r w:rsidR="003D33C7">
        <w:rPr>
          <w:vertAlign w:val="subscript"/>
        </w:rPr>
        <w:t>a</w:t>
      </w:r>
      <w:r w:rsidR="003D33C7">
        <w:t xml:space="preserve"> </w:t>
      </w:r>
      <w:r w:rsidR="00AE00E1">
        <w:t xml:space="preserve">of UEs that would perform UL in a PO in a cell </w:t>
      </w:r>
      <w:r w:rsidR="00D7756A">
        <w:t>can be</w:t>
      </w:r>
      <w:r w:rsidR="00AE00E1">
        <w:t xml:space="preserve"> computed as</w:t>
      </w:r>
    </w:p>
    <w:p w:rsidR="008B62D9" w:rsidRPr="00871D6C" w:rsidRDefault="00F563EA"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a</m:t>
              </m:r>
            </m:sub>
          </m:sSub>
          <m:r>
            <w:rPr>
              <w:rFonts w:ascii="Cambria Math" w:hAnsi="Cambria Math"/>
              <w:sz w:val="24"/>
              <w:szCs w:val="24"/>
              <w:lang w:val="de-DE"/>
            </w:rPr>
            <m:t xml:space="preserve">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g,PO</m:t>
              </m:r>
            </m:sub>
          </m:sSub>
          <m:r>
            <w:rPr>
              <w:rFonts w:ascii="Cambria Math" w:hAnsi="Cambria Math"/>
              <w:sz w:val="24"/>
              <w:szCs w:val="24"/>
              <w:lang w:val="de-DE"/>
            </w:rPr>
            <m:t xml:space="preserve">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r>
                <w:rPr>
                  <w:rFonts w:ascii="Cambria Math" w:hAnsi="Cambria Math"/>
                  <w:sz w:val="24"/>
                  <w:szCs w:val="24"/>
                  <w:lang w:val="de-DE"/>
                </w:rPr>
                <m:t>nB</m:t>
              </m:r>
            </m:den>
          </m:f>
          <m:r>
            <w:rPr>
              <w:rFonts w:ascii="Cambria Math" w:hAnsi="Cambria Math"/>
              <w:sz w:val="24"/>
              <w:szCs w:val="24"/>
              <w:lang w:val="de-DE"/>
            </w:rPr>
            <m:t xml:space="preserve">     (5)   </m:t>
          </m:r>
        </m:oMath>
      </m:oMathPara>
    </w:p>
    <w:p w:rsidR="00980108" w:rsidRDefault="00871D6C" w:rsidP="0023304D">
      <w:pPr>
        <w:rPr>
          <w:vertAlign w:val="subscript"/>
        </w:rPr>
      </w:pPr>
      <w:r>
        <w:t xml:space="preserve">Note that the maximum value of </w:t>
      </w:r>
      <w:r w:rsidR="00D7756A">
        <w:t>N</w:t>
      </w:r>
      <w:r w:rsidR="00D7756A">
        <w:rPr>
          <w:vertAlign w:val="subscript"/>
        </w:rPr>
        <w:t>a</w:t>
      </w:r>
      <w:r w:rsidRPr="00871D6C">
        <w:rPr>
          <w:sz w:val="24"/>
          <w:szCs w:val="24"/>
          <w:lang w:val="en-US"/>
        </w:rPr>
        <w:t xml:space="preserve"> </w:t>
      </w:r>
      <w:r>
        <w:t>is independent of the number of groups N</w:t>
      </w:r>
      <w:r w:rsidRPr="00E341FD">
        <w:rPr>
          <w:vertAlign w:val="subscript"/>
        </w:rPr>
        <w:t>g</w:t>
      </w:r>
      <w:r>
        <w:rPr>
          <w:vertAlign w:val="subscript"/>
        </w:rPr>
        <w:t xml:space="preserve">. </w:t>
      </w:r>
    </w:p>
    <w:p w:rsidR="00CD4C7B" w:rsidRDefault="00CD4C7B" w:rsidP="00446044">
      <w:pPr>
        <w:pStyle w:val="Heading1"/>
      </w:pPr>
      <w:r w:rsidRPr="006E13D1">
        <w:t>3</w:t>
      </w:r>
      <w:r w:rsidRPr="006E13D1">
        <w:tab/>
      </w:r>
      <w:r w:rsidR="007951F2">
        <w:t>Performance Evaluation</w:t>
      </w:r>
    </w:p>
    <w:p w:rsidR="00385425" w:rsidRPr="00535ADC" w:rsidRDefault="00385425" w:rsidP="00385425">
      <w:r>
        <w:t>In this section, we compute</w:t>
      </w:r>
      <w:r w:rsidR="003914E3">
        <w:t xml:space="preserve"> using Eq. (5)</w:t>
      </w:r>
      <w:r>
        <w:t xml:space="preserve"> the </w:t>
      </w:r>
      <w:r w:rsidR="00535ADC">
        <w:t xml:space="preserve">maximum </w:t>
      </w:r>
      <w:r w:rsidR="003914E3">
        <w:t xml:space="preserve">number </w:t>
      </w:r>
      <w:r w:rsidR="00535ADC">
        <w:t>N</w:t>
      </w:r>
      <w:r w:rsidR="00535ADC">
        <w:rPr>
          <w:vertAlign w:val="subscript"/>
        </w:rPr>
        <w:t>a</w:t>
      </w:r>
      <w:r w:rsidR="00A6731B">
        <w:rPr>
          <w:vertAlign w:val="subscript"/>
        </w:rPr>
        <w:t xml:space="preserve"> </w:t>
      </w:r>
      <w:r w:rsidR="00535ADC">
        <w:t>of UEs</w:t>
      </w:r>
      <w:r w:rsidR="003914E3">
        <w:t xml:space="preserve"> performing UL </w:t>
      </w:r>
      <w:r w:rsidR="000E1CE5">
        <w:t xml:space="preserve">access </w:t>
      </w:r>
      <w:r w:rsidR="003914E3">
        <w:t xml:space="preserve">in a PO </w:t>
      </w:r>
      <w:r w:rsidR="0043687D">
        <w:t>assuming</w:t>
      </w:r>
      <w:r w:rsidR="00535ADC">
        <w:t xml:space="preserve"> that all UEs in a cell are distributed evenly over</w:t>
      </w:r>
      <w:r w:rsidR="000701D5">
        <w:t xml:space="preserve"> </w:t>
      </w:r>
      <w:r w:rsidR="00535ADC">
        <w:t>all PGs for different values of N</w:t>
      </w:r>
      <w:r w:rsidR="00535ADC" w:rsidRPr="0023304D">
        <w:rPr>
          <w:vertAlign w:val="subscript"/>
        </w:rPr>
        <w:t>c</w:t>
      </w:r>
      <w:r w:rsidR="00535ADC">
        <w:t xml:space="preserve"> and nB. Then, we show using calculation results how the trade-off between the DL and UL radio resource overhead can be controlled using the configuration parameter N</w:t>
      </w:r>
      <w:r w:rsidR="00535ADC">
        <w:rPr>
          <w:vertAlign w:val="subscript"/>
        </w:rPr>
        <w:t xml:space="preserve">g </w:t>
      </w:r>
      <w:r w:rsidR="00535ADC">
        <w:t>.</w:t>
      </w:r>
    </w:p>
    <w:p w:rsidR="00CD4C7B" w:rsidRPr="006E13D1" w:rsidRDefault="00CD4C7B" w:rsidP="00CD4C7B">
      <w:pPr>
        <w:pStyle w:val="Heading2"/>
      </w:pPr>
      <w:r w:rsidRPr="006E13D1">
        <w:lastRenderedPageBreak/>
        <w:t>3.1</w:t>
      </w:r>
      <w:r w:rsidRPr="006E13D1">
        <w:tab/>
      </w:r>
      <w:r w:rsidR="00A7640C">
        <w:t>Calculation Results</w:t>
      </w:r>
    </w:p>
    <w:p w:rsidR="00CD4C7B" w:rsidRPr="00791A85" w:rsidRDefault="0095787F" w:rsidP="0008477F">
      <w:pPr>
        <w:pStyle w:val="B1"/>
        <w:ind w:left="0" w:firstLine="0"/>
        <w:rPr>
          <w:lang w:val="en-US"/>
        </w:rPr>
      </w:pPr>
      <w:r>
        <w:t xml:space="preserve">The </w:t>
      </w:r>
      <w:r w:rsidR="004061DA">
        <w:t xml:space="preserve">maximum </w:t>
      </w:r>
      <w:r w:rsidR="00EE2E06">
        <w:t xml:space="preserve">number </w:t>
      </w:r>
      <w:r w:rsidR="00791A85">
        <w:t>N</w:t>
      </w:r>
      <w:r w:rsidR="00791A85">
        <w:rPr>
          <w:vertAlign w:val="subscript"/>
        </w:rPr>
        <w:t xml:space="preserve">a </w:t>
      </w:r>
      <w:r w:rsidR="004061DA">
        <w:t xml:space="preserve"> </w:t>
      </w:r>
      <w:r w:rsidR="00791A85">
        <w:t>of UEs performing UL</w:t>
      </w:r>
      <w:r w:rsidR="000F7489">
        <w:t xml:space="preserve"> access</w:t>
      </w:r>
      <w:r w:rsidR="00791A85">
        <w:t xml:space="preserve"> in a PO is shown in Fig. 1 as a function of the number of POs per radio frame nB/T with the number of UEs in a cell N</w:t>
      </w:r>
      <w:r w:rsidR="00791A85" w:rsidRPr="00791A85">
        <w:rPr>
          <w:vertAlign w:val="subscript"/>
        </w:rPr>
        <w:t>c</w:t>
      </w:r>
      <w:r w:rsidR="00791A85">
        <w:t xml:space="preserve"> as a parameter for different DRX cycle T.</w:t>
      </w:r>
      <w:r w:rsidR="00702BB8">
        <w:t xml:space="preserve"> </w:t>
      </w:r>
    </w:p>
    <w:p w:rsidR="000208B8" w:rsidRDefault="000208B8" w:rsidP="0008477F">
      <w:pPr>
        <w:pStyle w:val="B1"/>
        <w:ind w:left="0" w:firstLine="0"/>
      </w:pPr>
    </w:p>
    <w:p w:rsidR="000208B8" w:rsidRDefault="000208B8" w:rsidP="0008477F">
      <w:pPr>
        <w:pStyle w:val="B1"/>
        <w:ind w:left="0" w:firstLine="0"/>
      </w:pPr>
      <w:r w:rsidRPr="000208B8">
        <w:rPr>
          <w:noProof/>
          <w:lang w:val="en-US"/>
        </w:rPr>
        <w:drawing>
          <wp:inline distT="0" distB="0" distL="0" distR="0" wp14:anchorId="7DB2F912" wp14:editId="560A22DF">
            <wp:extent cx="2980584" cy="2106000"/>
            <wp:effectExtent l="0" t="0" r="0" b="8890"/>
            <wp:docPr id="7"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980584" cy="2106000"/>
                    </a:xfrm>
                    <a:prstGeom prst="rect">
                      <a:avLst/>
                    </a:prstGeom>
                    <a:noFill/>
                    <a:ln w="9525">
                      <a:noFill/>
                      <a:miter lim="800000"/>
                      <a:headEnd/>
                      <a:tailEnd/>
                    </a:ln>
                  </pic:spPr>
                </pic:pic>
              </a:graphicData>
            </a:graphic>
          </wp:inline>
        </w:drawing>
      </w:r>
      <w:r w:rsidRPr="000208B8">
        <w:rPr>
          <w:noProof/>
          <w:lang w:val="en-US"/>
        </w:rPr>
        <w:drawing>
          <wp:inline distT="0" distB="0" distL="0" distR="0" wp14:anchorId="4BD18150" wp14:editId="3F5AC68F">
            <wp:extent cx="2980584" cy="2106000"/>
            <wp:effectExtent l="0" t="0" r="0" b="889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p>
    <w:p w:rsidR="000208B8" w:rsidRDefault="000208B8" w:rsidP="00791A85">
      <w:pPr>
        <w:pStyle w:val="B1"/>
        <w:numPr>
          <w:ilvl w:val="0"/>
          <w:numId w:val="10"/>
        </w:numPr>
      </w:pPr>
      <w:r>
        <w:t>T = 320 ms.</w:t>
      </w:r>
      <w:r>
        <w:tab/>
      </w:r>
      <w:r>
        <w:tab/>
      </w:r>
      <w:r>
        <w:tab/>
      </w:r>
      <w:r>
        <w:tab/>
      </w:r>
      <w:r>
        <w:tab/>
      </w:r>
      <w:r>
        <w:tab/>
      </w:r>
      <w:r>
        <w:tab/>
      </w:r>
      <w:r>
        <w:tab/>
      </w:r>
      <w:r>
        <w:tab/>
      </w:r>
      <w:r>
        <w:tab/>
      </w:r>
      <w:r>
        <w:tab/>
      </w:r>
      <w:r w:rsidR="00791A85">
        <w:t xml:space="preserve">         </w:t>
      </w:r>
      <w:r>
        <w:t>(b) T = 640 ms.</w:t>
      </w:r>
      <w:r>
        <w:tab/>
        <w:t xml:space="preserve"> </w:t>
      </w:r>
    </w:p>
    <w:p w:rsidR="000208B8" w:rsidRDefault="000208B8" w:rsidP="009029E2">
      <w:pPr>
        <w:pStyle w:val="B1"/>
        <w:keepNext/>
        <w:ind w:left="0" w:firstLine="0"/>
      </w:pPr>
      <w:r w:rsidRPr="000208B8">
        <w:rPr>
          <w:noProof/>
          <w:lang w:val="en-US"/>
        </w:rPr>
        <w:drawing>
          <wp:inline distT="0" distB="0" distL="0" distR="0" wp14:anchorId="3FCDB2D0" wp14:editId="430573A5">
            <wp:extent cx="2980584" cy="2106000"/>
            <wp:effectExtent l="0" t="0" r="0" b="889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r w:rsidR="009029E2" w:rsidRPr="000208B8">
        <w:rPr>
          <w:noProof/>
          <w:lang w:val="en-US"/>
        </w:rPr>
        <w:drawing>
          <wp:inline distT="0" distB="0" distL="0" distR="0" wp14:anchorId="46C138B0" wp14:editId="7DA8A33B">
            <wp:extent cx="2980584" cy="2106000"/>
            <wp:effectExtent l="0" t="0" r="0" b="889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p>
    <w:p w:rsidR="009029E2" w:rsidRPr="000E6919" w:rsidRDefault="00C34A61" w:rsidP="00C34A61">
      <w:pPr>
        <w:pStyle w:val="B1"/>
        <w:ind w:left="1704" w:firstLine="0"/>
        <w:rPr>
          <w:lang w:val="en-US"/>
        </w:rPr>
      </w:pPr>
      <w:r w:rsidRPr="000E6919">
        <w:rPr>
          <w:lang w:val="en-US"/>
        </w:rPr>
        <w:t>(c) T = 1280 ms.</w:t>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00791A85" w:rsidRPr="000E6919">
        <w:rPr>
          <w:lang w:val="en-US"/>
        </w:rPr>
        <w:t xml:space="preserve">         </w:t>
      </w:r>
      <w:r w:rsidRPr="000E6919">
        <w:rPr>
          <w:lang w:val="en-US"/>
        </w:rPr>
        <w:t>(</w:t>
      </w:r>
      <w:r w:rsidR="00413AF6" w:rsidRPr="000E6919">
        <w:rPr>
          <w:lang w:val="en-US"/>
        </w:rPr>
        <w:t>d</w:t>
      </w:r>
      <w:r w:rsidRPr="000E6919">
        <w:rPr>
          <w:lang w:val="en-US"/>
        </w:rPr>
        <w:t xml:space="preserve">) T = </w:t>
      </w:r>
      <w:r w:rsidR="00413AF6" w:rsidRPr="000E6919">
        <w:rPr>
          <w:lang w:val="en-US"/>
        </w:rPr>
        <w:t xml:space="preserve">2560 </w:t>
      </w:r>
      <w:r w:rsidRPr="000E6919">
        <w:rPr>
          <w:lang w:val="en-US"/>
        </w:rPr>
        <w:t>ms.</w:t>
      </w:r>
    </w:p>
    <w:p w:rsidR="009029E2" w:rsidRPr="0061173C" w:rsidRDefault="009029E2" w:rsidP="008A48BD">
      <w:pPr>
        <w:pStyle w:val="Caption"/>
        <w:spacing w:line="276" w:lineRule="auto"/>
        <w:rPr>
          <w:b/>
          <w:i w:val="0"/>
          <w:color w:val="000000" w:themeColor="text1"/>
          <w:lang w:val="en-US"/>
        </w:rPr>
      </w:pPr>
      <w:r w:rsidRPr="0061173C">
        <w:rPr>
          <w:b/>
          <w:i w:val="0"/>
          <w:color w:val="000000" w:themeColor="text1"/>
          <w:lang w:val="en-US"/>
        </w:rPr>
        <w:t xml:space="preserve">Figure </w:t>
      </w:r>
      <w:r w:rsidRPr="0061173C">
        <w:rPr>
          <w:b/>
          <w:i w:val="0"/>
          <w:color w:val="000000" w:themeColor="text1"/>
        </w:rPr>
        <w:fldChar w:fldCharType="begin"/>
      </w:r>
      <w:r w:rsidRPr="0061173C">
        <w:rPr>
          <w:b/>
          <w:i w:val="0"/>
          <w:color w:val="000000" w:themeColor="text1"/>
          <w:lang w:val="en-US"/>
        </w:rPr>
        <w:instrText xml:space="preserve"> SEQ Figure \* ARABIC </w:instrText>
      </w:r>
      <w:r w:rsidRPr="0061173C">
        <w:rPr>
          <w:b/>
          <w:i w:val="0"/>
          <w:color w:val="000000" w:themeColor="text1"/>
        </w:rPr>
        <w:fldChar w:fldCharType="separate"/>
      </w:r>
      <w:r w:rsidR="000A4CDF" w:rsidRPr="0061173C">
        <w:rPr>
          <w:b/>
          <w:i w:val="0"/>
          <w:noProof/>
          <w:color w:val="000000" w:themeColor="text1"/>
          <w:lang w:val="en-US"/>
        </w:rPr>
        <w:t>1</w:t>
      </w:r>
      <w:r w:rsidRPr="0061173C">
        <w:rPr>
          <w:b/>
          <w:i w:val="0"/>
          <w:color w:val="000000" w:themeColor="text1"/>
        </w:rPr>
        <w:fldChar w:fldCharType="end"/>
      </w:r>
      <w:r w:rsidRPr="0061173C">
        <w:rPr>
          <w:b/>
          <w:i w:val="0"/>
          <w:color w:val="000000" w:themeColor="text1"/>
        </w:rPr>
        <w:t xml:space="preserve">: The </w:t>
      </w:r>
      <w:r w:rsidR="000E6919" w:rsidRPr="0061173C">
        <w:rPr>
          <w:b/>
          <w:i w:val="0"/>
          <w:color w:val="000000" w:themeColor="text1"/>
        </w:rPr>
        <w:t>maximum</w:t>
      </w:r>
      <w:r w:rsidRPr="0061173C">
        <w:rPr>
          <w:b/>
          <w:i w:val="0"/>
          <w:color w:val="000000" w:themeColor="text1"/>
        </w:rPr>
        <w:t xml:space="preserve"> </w:t>
      </w:r>
      <w:r w:rsidR="00F5434E" w:rsidRPr="0061173C">
        <w:rPr>
          <w:b/>
          <w:i w:val="0"/>
          <w:color w:val="000000" w:themeColor="text1"/>
        </w:rPr>
        <w:t xml:space="preserve">number </w:t>
      </w:r>
      <w:r w:rsidRPr="0061173C">
        <w:rPr>
          <w:b/>
          <w:i w:val="0"/>
          <w:color w:val="000000" w:themeColor="text1"/>
        </w:rPr>
        <w:t>N</w:t>
      </w:r>
      <w:r w:rsidRPr="0061173C">
        <w:rPr>
          <w:b/>
          <w:i w:val="0"/>
          <w:color w:val="000000" w:themeColor="text1"/>
          <w:vertAlign w:val="subscript"/>
        </w:rPr>
        <w:t xml:space="preserve">a  </w:t>
      </w:r>
      <w:r w:rsidRPr="0061173C">
        <w:rPr>
          <w:b/>
          <w:i w:val="0"/>
          <w:color w:val="000000" w:themeColor="text1"/>
        </w:rPr>
        <w:t>of UEs performing UL access as a function of the number of POs per radio frame nB/T with N</w:t>
      </w:r>
      <w:r w:rsidRPr="0061173C">
        <w:rPr>
          <w:b/>
          <w:i w:val="0"/>
          <w:color w:val="000000" w:themeColor="text1"/>
          <w:vertAlign w:val="subscript"/>
        </w:rPr>
        <w:t>c</w:t>
      </w:r>
      <w:r w:rsidRPr="0061173C">
        <w:rPr>
          <w:b/>
          <w:i w:val="0"/>
          <w:color w:val="000000" w:themeColor="text1"/>
        </w:rPr>
        <w:t xml:space="preserve"> as a parameter for different DRX cycle T.</w:t>
      </w:r>
    </w:p>
    <w:p w:rsidR="00791A85" w:rsidRDefault="004F48A6" w:rsidP="00791A85">
      <w:pPr>
        <w:pStyle w:val="B1"/>
        <w:ind w:left="0" w:firstLine="0"/>
        <w:rPr>
          <w:lang w:val="en-US"/>
        </w:rPr>
      </w:pPr>
      <w:r>
        <w:rPr>
          <w:lang w:val="en-US"/>
        </w:rPr>
        <w:t xml:space="preserve">In Fig. 1, the maximum value of </w:t>
      </w:r>
      <w:r>
        <w:t>N</w:t>
      </w:r>
      <w:r>
        <w:rPr>
          <w:vertAlign w:val="subscript"/>
        </w:rPr>
        <w:t>a</w:t>
      </w:r>
      <w:r>
        <w:rPr>
          <w:lang w:val="en-US"/>
        </w:rPr>
        <w:t xml:space="preserve"> has been limited to 32, as an example</w:t>
      </w:r>
      <w:r w:rsidR="00AA1177">
        <w:rPr>
          <w:lang w:val="en-US"/>
        </w:rPr>
        <w:t xml:space="preserve"> design criterion</w:t>
      </w:r>
      <w:r>
        <w:rPr>
          <w:lang w:val="en-US"/>
        </w:rPr>
        <w:t>.</w:t>
      </w:r>
      <w:r w:rsidR="004312E9">
        <w:rPr>
          <w:lang w:val="en-US"/>
        </w:rPr>
        <w:t xml:space="preserve"> </w:t>
      </w:r>
      <w:r w:rsidR="00791A85">
        <w:rPr>
          <w:lang w:val="en-US"/>
        </w:rPr>
        <w:t xml:space="preserve">According to the figure, it is shown that </w:t>
      </w:r>
      <w:r w:rsidR="00153446">
        <w:rPr>
          <w:lang w:val="en-US"/>
        </w:rPr>
        <w:t xml:space="preserve">the </w:t>
      </w:r>
      <w:r w:rsidR="00170929">
        <w:rPr>
          <w:lang w:val="en-US"/>
        </w:rPr>
        <w:t xml:space="preserve">maximum </w:t>
      </w:r>
      <w:r w:rsidR="009E6A86">
        <w:rPr>
          <w:lang w:val="en-US"/>
        </w:rPr>
        <w:t xml:space="preserve">number of UL access </w:t>
      </w:r>
      <w:r w:rsidR="00791A85">
        <w:t>N</w:t>
      </w:r>
      <w:r w:rsidR="00791A85">
        <w:rPr>
          <w:vertAlign w:val="subscript"/>
        </w:rPr>
        <w:t xml:space="preserve">a  </w:t>
      </w:r>
      <w:r w:rsidR="00791A85">
        <w:t xml:space="preserve">decreases for higher value of nB/T irrespective of the DRX cycle T. This is because </w:t>
      </w:r>
      <w:r w:rsidR="002B0889">
        <w:t xml:space="preserve">for higher nB/T, </w:t>
      </w:r>
      <w:r w:rsidR="00791A85">
        <w:t>the number of POs within a DRX cy</w:t>
      </w:r>
      <w:r w:rsidR="00BE7171">
        <w:t>c</w:t>
      </w:r>
      <w:r w:rsidR="00791A85">
        <w:t>le</w:t>
      </w:r>
      <w:r w:rsidR="00BE7171">
        <w:t xml:space="preserve"> increases which reduces the number of UEs monitoring the same PO. </w:t>
      </w:r>
      <w:r w:rsidR="00791A85">
        <w:t xml:space="preserve"> </w:t>
      </w:r>
    </w:p>
    <w:p w:rsidR="000208B8" w:rsidRDefault="009E6A86" w:rsidP="00791A85">
      <w:pPr>
        <w:pStyle w:val="B1"/>
        <w:ind w:left="0" w:firstLine="0"/>
        <w:rPr>
          <w:b/>
          <w:lang w:val="en-US"/>
        </w:rPr>
      </w:pPr>
      <w:r w:rsidRPr="009E6A86">
        <w:rPr>
          <w:b/>
          <w:lang w:val="en-US"/>
        </w:rPr>
        <w:t>Observation 1: The number of UEs performing UL access</w:t>
      </w:r>
      <w:r>
        <w:rPr>
          <w:b/>
          <w:lang w:val="en-US"/>
        </w:rPr>
        <w:t xml:space="preserve"> per PO</w:t>
      </w:r>
      <w:r w:rsidRPr="009E6A86">
        <w:rPr>
          <w:b/>
          <w:lang w:val="en-US"/>
        </w:rPr>
        <w:t xml:space="preserve"> reduces for higher number of POs within a DRX cycle.</w:t>
      </w:r>
    </w:p>
    <w:p w:rsidR="009E6A86" w:rsidRPr="009E6A86" w:rsidRDefault="009E6A86" w:rsidP="00791A85">
      <w:pPr>
        <w:pStyle w:val="B1"/>
        <w:ind w:left="0" w:firstLine="0"/>
        <w:rPr>
          <w:b/>
          <w:lang w:val="en-US"/>
        </w:rPr>
      </w:pPr>
      <w:r>
        <w:rPr>
          <w:lang w:val="en-US"/>
        </w:rPr>
        <w:t xml:space="preserve">For a given value of nB/T, the </w:t>
      </w:r>
      <w:r w:rsidR="00D06148">
        <w:rPr>
          <w:lang w:val="en-US"/>
        </w:rPr>
        <w:t xml:space="preserve">maximum </w:t>
      </w:r>
      <w:r>
        <w:rPr>
          <w:lang w:val="en-US"/>
        </w:rPr>
        <w:t xml:space="preserve">number of UL access </w:t>
      </w:r>
      <w:r>
        <w:t>N</w:t>
      </w:r>
      <w:r>
        <w:rPr>
          <w:vertAlign w:val="subscript"/>
        </w:rPr>
        <w:t xml:space="preserve">a </w:t>
      </w:r>
      <w:r>
        <w:t>per PO increases for a higher number N</w:t>
      </w:r>
      <w:r w:rsidRPr="00791A85">
        <w:rPr>
          <w:vertAlign w:val="subscript"/>
        </w:rPr>
        <w:t>c</w:t>
      </w:r>
      <w:r>
        <w:t xml:space="preserve"> of UEs per cell. This is because for a fixed number of POs in a DRX cycle, the number of UEs monitoring the same PO increases for higher N</w:t>
      </w:r>
      <w:r w:rsidRPr="00791A85">
        <w:rPr>
          <w:vertAlign w:val="subscript"/>
        </w:rPr>
        <w:t>c</w:t>
      </w:r>
      <w:r>
        <w:rPr>
          <w:vertAlign w:val="subscript"/>
        </w:rPr>
        <w:t>.</w:t>
      </w:r>
    </w:p>
    <w:p w:rsidR="009E6A86" w:rsidRDefault="009E6A86" w:rsidP="009E6A86">
      <w:pPr>
        <w:pStyle w:val="B1"/>
        <w:ind w:left="0" w:firstLine="0"/>
        <w:rPr>
          <w:b/>
          <w:lang w:val="en-US"/>
        </w:rPr>
      </w:pPr>
      <w:r w:rsidRPr="009E6A86">
        <w:rPr>
          <w:b/>
          <w:lang w:val="en-US"/>
        </w:rPr>
        <w:t xml:space="preserve">Observation </w:t>
      </w:r>
      <w:r>
        <w:rPr>
          <w:b/>
          <w:lang w:val="en-US"/>
        </w:rPr>
        <w:t>2:</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increases for a higher number of UEs per cell.</w:t>
      </w:r>
    </w:p>
    <w:p w:rsidR="00EF564B" w:rsidRDefault="009E6A86" w:rsidP="009E6A86">
      <w:pPr>
        <w:pStyle w:val="B1"/>
        <w:ind w:left="0" w:firstLine="0"/>
      </w:pPr>
      <w:r>
        <w:t>For a given number of POs per radio frame nB/T and number N</w:t>
      </w:r>
      <w:r w:rsidRPr="00791A85">
        <w:rPr>
          <w:vertAlign w:val="subscript"/>
        </w:rPr>
        <w:t>c</w:t>
      </w:r>
      <w:r>
        <w:t xml:space="preserve"> of UEs per cell, the</w:t>
      </w:r>
      <w:r w:rsidR="00A31AF9">
        <w:t xml:space="preserve"> maximum</w:t>
      </w:r>
      <w:r>
        <w:t xml:space="preserve"> number of UL access N</w:t>
      </w:r>
      <w:r>
        <w:rPr>
          <w:vertAlign w:val="subscript"/>
        </w:rPr>
        <w:t xml:space="preserve">a </w:t>
      </w:r>
      <w:r>
        <w:t xml:space="preserve">per PO decreases for a higher value of DRX cycle T. This is </w:t>
      </w:r>
      <w:r w:rsidR="00267DFA">
        <w:t>because</w:t>
      </w:r>
      <w:r>
        <w:t xml:space="preserve"> the number of </w:t>
      </w:r>
      <w:r w:rsidR="002B0889">
        <w:t>POs per DRX cycle increases for higher T which in turn reduces the number of UEs monitoring the same PO.</w:t>
      </w:r>
    </w:p>
    <w:p w:rsidR="00EF564B" w:rsidRDefault="00EF564B" w:rsidP="00EF564B">
      <w:pPr>
        <w:pStyle w:val="B1"/>
        <w:ind w:left="0" w:firstLine="0"/>
        <w:rPr>
          <w:b/>
          <w:lang w:val="en-US"/>
        </w:rPr>
      </w:pPr>
      <w:r w:rsidRPr="009E6A86">
        <w:rPr>
          <w:b/>
          <w:lang w:val="en-US"/>
        </w:rPr>
        <w:lastRenderedPageBreak/>
        <w:t xml:space="preserve">Observation </w:t>
      </w:r>
      <w:r>
        <w:rPr>
          <w:b/>
          <w:lang w:val="en-US"/>
        </w:rPr>
        <w:t>3:</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decreases for a higher DRX cycle given that the numbers of POs per frame and UEs in a cell remain the same.</w:t>
      </w:r>
    </w:p>
    <w:p w:rsidR="004061DA" w:rsidRDefault="0015715A" w:rsidP="009E6A86">
      <w:pPr>
        <w:pStyle w:val="B1"/>
        <w:ind w:left="0" w:firstLine="0"/>
        <w:rPr>
          <w:b/>
          <w:lang w:val="en-US"/>
        </w:rPr>
      </w:pPr>
      <w:r>
        <w:t>More</w:t>
      </w:r>
      <w:r w:rsidR="00B66788">
        <w:t xml:space="preserve"> importantly</w:t>
      </w:r>
      <w:r w:rsidR="0005470A">
        <w:t>, the results of Fig. 1 show</w:t>
      </w:r>
      <w:r w:rsidR="00B66788">
        <w:t xml:space="preserve"> </w:t>
      </w:r>
      <w:r w:rsidR="00FE09FF">
        <w:t xml:space="preserve">that </w:t>
      </w:r>
      <w:r w:rsidR="00B66788">
        <w:t xml:space="preserve">the </w:t>
      </w:r>
      <w:r w:rsidR="00D05F37">
        <w:t xml:space="preserve">maximum </w:t>
      </w:r>
      <w:r w:rsidR="00B66788">
        <w:t>number N</w:t>
      </w:r>
      <w:r w:rsidR="00B66788">
        <w:rPr>
          <w:vertAlign w:val="subscript"/>
        </w:rPr>
        <w:t>a</w:t>
      </w:r>
      <w:r w:rsidR="00B66788" w:rsidRPr="00B66788">
        <w:t xml:space="preserve"> </w:t>
      </w:r>
      <w:r w:rsidR="00B66788">
        <w:t>of UL access per PO in a cell can be controlled by properly configuring nB/T for a given DRX cycle</w:t>
      </w:r>
      <w:r w:rsidR="00E645F1">
        <w:t xml:space="preserve"> and maximum number</w:t>
      </w:r>
      <w:r w:rsidR="008C5703">
        <w:t xml:space="preserve"> N</w:t>
      </w:r>
      <w:r w:rsidR="008C5703" w:rsidRPr="00791A85">
        <w:rPr>
          <w:vertAlign w:val="subscript"/>
        </w:rPr>
        <w:t>c</w:t>
      </w:r>
      <w:r w:rsidR="00E645F1">
        <w:t xml:space="preserve"> of UEs per cell</w:t>
      </w:r>
      <w:r w:rsidR="000B6171">
        <w:t xml:space="preserve">, </w:t>
      </w:r>
      <w:r w:rsidR="00D30EF6">
        <w:t xml:space="preserve">which </w:t>
      </w:r>
      <w:r w:rsidR="0076134D">
        <w:t>depend</w:t>
      </w:r>
      <w:r w:rsidR="00D30EF6">
        <w:t xml:space="preserve">s </w:t>
      </w:r>
      <w:r w:rsidR="0076134D">
        <w:t>on the scenario</w:t>
      </w:r>
      <w:r w:rsidR="00D30EF6">
        <w:t xml:space="preserve"> as in any other network planning optimization</w:t>
      </w:r>
      <w:r w:rsidR="00451984">
        <w:t xml:space="preserve"> problem</w:t>
      </w:r>
      <w:r w:rsidR="00D30EF6">
        <w:t>.</w:t>
      </w:r>
      <w:r w:rsidR="00B66788">
        <w:t xml:space="preserve"> Fo</w:t>
      </w:r>
      <w:r w:rsidR="00C93A46">
        <w:t xml:space="preserve">r instance, </w:t>
      </w:r>
      <w:r w:rsidR="00C216F1">
        <w:t>setting</w:t>
      </w:r>
      <w:r w:rsidR="00C93A46">
        <w:t xml:space="preserve"> nB/T= 1 for UEs </w:t>
      </w:r>
      <w:r w:rsidR="00C216F1">
        <w:t xml:space="preserve">configured </w:t>
      </w:r>
      <w:r w:rsidR="00C93A46">
        <w:t xml:space="preserve">with a DRX cycle of T = 640 ms allows in the </w:t>
      </w:r>
      <w:r w:rsidR="003C7742">
        <w:t>“</w:t>
      </w:r>
      <w:r w:rsidR="00C93A46">
        <w:t>worst-case</w:t>
      </w:r>
      <w:r w:rsidR="003C7742">
        <w:t>”</w:t>
      </w:r>
      <w:r w:rsidR="00C93A46">
        <w:t xml:space="preserve"> 16 UEs to perform UL access </w:t>
      </w:r>
      <w:r w:rsidR="009D1EC3">
        <w:t>per PO in a scenario where the number of UEs per cell can be up to</w:t>
      </w:r>
      <w:r w:rsidR="009779BE">
        <w:t xml:space="preserve"> </w:t>
      </w:r>
      <w:r w:rsidR="00995B08">
        <w:t>1024</w:t>
      </w:r>
      <w:r w:rsidR="00C93A46">
        <w:t>, see Fig. 1(b)</w:t>
      </w:r>
      <w:r w:rsidR="005E5979">
        <w:t xml:space="preserve">. </w:t>
      </w:r>
      <w:r w:rsidR="0027202F">
        <w:t xml:space="preserve">To support a higher number of UEs </w:t>
      </w:r>
      <w:r w:rsidR="00585536">
        <w:t xml:space="preserve">in a cell </w:t>
      </w:r>
      <w:r w:rsidR="004D4D0D">
        <w:t xml:space="preserve">that is </w:t>
      </w:r>
      <w:r w:rsidR="00585536">
        <w:t xml:space="preserve">up to </w:t>
      </w:r>
      <w:r w:rsidR="0027202F">
        <w:t>2048, the network should configure nB/T = 2 instead of 1 to increase the number POs within a DRX cycle as shown in Fig. 1(b).</w:t>
      </w:r>
    </w:p>
    <w:p w:rsidR="00C93A46" w:rsidRDefault="0048281C" w:rsidP="009E6A86">
      <w:pPr>
        <w:pStyle w:val="B1"/>
        <w:ind w:left="0" w:firstLine="0"/>
        <w:rPr>
          <w:b/>
          <w:lang w:val="en-US"/>
        </w:rPr>
      </w:pPr>
      <w:r w:rsidRPr="009E6A86">
        <w:rPr>
          <w:b/>
          <w:lang w:val="en-US"/>
        </w:rPr>
        <w:t xml:space="preserve">Observation </w:t>
      </w:r>
      <w:r>
        <w:rPr>
          <w:b/>
          <w:lang w:val="en-US"/>
        </w:rPr>
        <w:t>4:</w:t>
      </w:r>
      <w:r w:rsidRPr="009E6A86">
        <w:rPr>
          <w:b/>
          <w:lang w:val="en-US"/>
        </w:rPr>
        <w:t xml:space="preserve"> The number of </w:t>
      </w:r>
      <w:r>
        <w:rPr>
          <w:b/>
          <w:lang w:val="en-US"/>
        </w:rPr>
        <w:t>UEs performing UL access</w:t>
      </w:r>
      <w:r w:rsidR="00856EFB">
        <w:rPr>
          <w:b/>
          <w:lang w:val="en-US"/>
        </w:rPr>
        <w:t xml:space="preserve"> per PO</w:t>
      </w:r>
      <w:r>
        <w:rPr>
          <w:b/>
          <w:lang w:val="en-US"/>
        </w:rPr>
        <w:t xml:space="preserve"> can be controlled by proper configuration of paging parameters as in any other network planning optimization problem.</w:t>
      </w:r>
    </w:p>
    <w:p w:rsidR="00CD4C7B" w:rsidRPr="006E13D1" w:rsidRDefault="00CD4C7B" w:rsidP="00CD4C7B">
      <w:pPr>
        <w:pStyle w:val="Heading2"/>
      </w:pPr>
      <w:r w:rsidRPr="006E13D1">
        <w:t>3.2</w:t>
      </w:r>
      <w:r w:rsidRPr="006E13D1">
        <w:tab/>
      </w:r>
      <w:r w:rsidR="00A7640C">
        <w:t>Trade-off between DL and UL Radio Resource Overhead</w:t>
      </w:r>
    </w:p>
    <w:p w:rsidR="00CD4C7B" w:rsidRDefault="002C2B21" w:rsidP="0081516B">
      <w:r>
        <w:t>In this section, we show how the trade-off between the DL and UL radio resource overhead can be controlled using the number N</w:t>
      </w:r>
      <w:r>
        <w:rPr>
          <w:vertAlign w:val="subscript"/>
        </w:rPr>
        <w:t xml:space="preserve">g </w:t>
      </w:r>
      <w:r w:rsidR="00D81EDE">
        <w:t>of PGs for a fixed nB.</w:t>
      </w:r>
    </w:p>
    <w:p w:rsidR="008A48BD" w:rsidRDefault="008A48BD" w:rsidP="008A48BD">
      <w:r>
        <w:t>The n</w:t>
      </w:r>
      <w:r w:rsidRPr="008A48BD">
        <w:t>umber N</w:t>
      </w:r>
      <w:r w:rsidRPr="008A48BD">
        <w:rPr>
          <w:vertAlign w:val="subscript"/>
        </w:rPr>
        <w:t xml:space="preserve">g,PO </w:t>
      </w:r>
      <w:r>
        <w:t xml:space="preserve">of PGs per PO, </w:t>
      </w:r>
      <w:r w:rsidRPr="008A48BD">
        <w:t xml:space="preserve">determining the </w:t>
      </w:r>
      <w:r>
        <w:t xml:space="preserve">length of the DL </w:t>
      </w:r>
      <w:r w:rsidR="002514EA">
        <w:t>bitmap in bits, is shown in Fig.</w:t>
      </w:r>
      <w:r>
        <w:t xml:space="preserve"> 2 </w:t>
      </w:r>
      <w:r w:rsidR="0095272E">
        <w:t xml:space="preserve">for a DRX cycle of T = 320 ms </w:t>
      </w:r>
      <w:r w:rsidRPr="008A48BD">
        <w:t>as a function of the number of POs per frame nB/T with the total number N</w:t>
      </w:r>
      <w:r w:rsidRPr="004C1A67">
        <w:rPr>
          <w:vertAlign w:val="subscript"/>
        </w:rPr>
        <w:t>g</w:t>
      </w:r>
      <w:r w:rsidRPr="008A48BD">
        <w:t xml:space="preserve"> of </w:t>
      </w:r>
      <w:r w:rsidR="004C1A67">
        <w:t>PG</w:t>
      </w:r>
      <w:r w:rsidR="002514EA">
        <w:t>s</w:t>
      </w:r>
      <w:r w:rsidRPr="008A48BD">
        <w:t xml:space="preserve"> as a parameter.</w:t>
      </w:r>
      <w:r w:rsidR="00063210">
        <w:t xml:space="preserve"> </w:t>
      </w:r>
      <w:r w:rsidR="00E4335C">
        <w:t>According to the figure,</w:t>
      </w:r>
      <w:r w:rsidR="004C1A67">
        <w:t xml:space="preserve"> the length of the</w:t>
      </w:r>
      <w:r w:rsidR="001710F0">
        <w:t xml:space="preserve"> DL bitmap decreases for higher value </w:t>
      </w:r>
      <w:r w:rsidR="004C1A67">
        <w:t>of nB/T</w:t>
      </w:r>
      <w:r w:rsidR="001710F0">
        <w:t xml:space="preserve"> since less number of PGs monitor the same PO.</w:t>
      </w:r>
    </w:p>
    <w:p w:rsidR="001710F0" w:rsidRPr="008A48BD" w:rsidRDefault="001710F0" w:rsidP="008A48BD">
      <w:r w:rsidRPr="009E6A86">
        <w:rPr>
          <w:b/>
          <w:lang w:val="en-US"/>
        </w:rPr>
        <w:t xml:space="preserve">Observation </w:t>
      </w:r>
      <w:r>
        <w:rPr>
          <w:b/>
          <w:lang w:val="en-US"/>
        </w:rPr>
        <w:t>5:</w:t>
      </w:r>
      <w:r w:rsidRPr="009E6A86">
        <w:rPr>
          <w:b/>
          <w:lang w:val="en-US"/>
        </w:rPr>
        <w:t xml:space="preserve"> The</w:t>
      </w:r>
      <w:r>
        <w:rPr>
          <w:b/>
          <w:lang w:val="en-US"/>
        </w:rPr>
        <w:t xml:space="preserve"> length of the DL bitmap, determining the radio resource overhead in DL, decreases for hi</w:t>
      </w:r>
      <w:r w:rsidR="000E3352">
        <w:rPr>
          <w:b/>
          <w:lang w:val="en-US"/>
        </w:rPr>
        <w:t>gh</w:t>
      </w:r>
      <w:r>
        <w:rPr>
          <w:b/>
          <w:lang w:val="en-US"/>
        </w:rPr>
        <w:t>er configuration of nB/T.</w:t>
      </w:r>
    </w:p>
    <w:p w:rsidR="008A48BD" w:rsidRDefault="00AE06E7" w:rsidP="0081516B">
      <w:r>
        <w:t>Moreover, the length of the DL bitmap is much smaller than the paging message containing the UE IDs which reduces significantly the downlink radio resource overhead.</w:t>
      </w:r>
    </w:p>
    <w:p w:rsidR="000A4CDF" w:rsidRDefault="00C35EA2" w:rsidP="002914B7">
      <w:pPr>
        <w:keepNext/>
      </w:pPr>
      <w:r>
        <w:rPr>
          <w:noProof/>
          <w:lang w:val="en-US"/>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2150110</wp:posOffset>
                </wp:positionV>
                <wp:extent cx="2955290" cy="8356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835660"/>
                        </a:xfrm>
                        <a:prstGeom prst="rect">
                          <a:avLst/>
                        </a:prstGeom>
                        <a:solidFill>
                          <a:srgbClr val="FFFFFF"/>
                        </a:solidFill>
                        <a:ln w="9525">
                          <a:noFill/>
                          <a:miter lim="800000"/>
                          <a:headEnd/>
                          <a:tailEnd/>
                        </a:ln>
                      </wps:spPr>
                      <wps:txbx>
                        <w:txbxContent>
                          <w:p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2: </w:t>
                            </w:r>
                            <w:r w:rsidR="00111346" w:rsidRPr="0038701C">
                              <w:rPr>
                                <w:b/>
                                <w:i w:val="0"/>
                                <w:color w:val="000000" w:themeColor="text1"/>
                              </w:rPr>
                              <w:t>Number N</w:t>
                            </w:r>
                            <w:r w:rsidR="00111346" w:rsidRPr="0038701C">
                              <w:rPr>
                                <w:b/>
                                <w:i w:val="0"/>
                                <w:color w:val="000000" w:themeColor="text1"/>
                                <w:vertAlign w:val="subscript"/>
                              </w:rPr>
                              <w:t xml:space="preserve">g,PO </w:t>
                            </w:r>
                            <w:r w:rsidR="00111346" w:rsidRPr="0038701C">
                              <w:rPr>
                                <w:b/>
                                <w:i w:val="0"/>
                                <w:color w:val="000000" w:themeColor="text1"/>
                              </w:rPr>
                              <w:t>of PGs per PO</w:t>
                            </w:r>
                            <w:r w:rsidR="00922E27" w:rsidRPr="0038701C">
                              <w:rPr>
                                <w:b/>
                                <w:i w:val="0"/>
                                <w:color w:val="000000" w:themeColor="text1"/>
                              </w:rPr>
                              <w:t>,</w:t>
                            </w:r>
                            <w:r w:rsidR="00111346" w:rsidRPr="0038701C">
                              <w:rPr>
                                <w:b/>
                                <w:i w:val="0"/>
                                <w:color w:val="000000" w:themeColor="text1"/>
                              </w:rPr>
                              <w:t xml:space="preserve"> determining the length of the DL bitmap in bits</w:t>
                            </w:r>
                            <w:r w:rsidR="00922E27" w:rsidRPr="0038701C">
                              <w:rPr>
                                <w:b/>
                                <w:i w:val="0"/>
                                <w:color w:val="000000" w:themeColor="text1"/>
                              </w:rPr>
                              <w:t>, is shown for DRX cycle of T = 320 ms</w:t>
                            </w:r>
                            <w:r w:rsidR="00111346" w:rsidRPr="0038701C">
                              <w:rPr>
                                <w:b/>
                                <w:i w:val="0"/>
                                <w:color w:val="000000" w:themeColor="text1"/>
                              </w:rPr>
                              <w:t xml:space="preserve"> as a function of the number of POs per frame nB/T with the total number N</w:t>
                            </w:r>
                            <w:r w:rsidR="00111346" w:rsidRPr="0038701C">
                              <w:rPr>
                                <w:b/>
                                <w:i w:val="0"/>
                                <w:color w:val="000000" w:themeColor="text1"/>
                                <w:vertAlign w:val="subscript"/>
                              </w:rPr>
                              <w:t>g</w:t>
                            </w:r>
                            <w:r w:rsidR="00111346" w:rsidRPr="0038701C">
                              <w:rPr>
                                <w:b/>
                                <w:i w:val="0"/>
                                <w:color w:val="000000" w:themeColor="text1"/>
                              </w:rPr>
                              <w:t xml:space="preserve"> of PGs as a</w:t>
                            </w:r>
                            <w:r w:rsidR="004816C0">
                              <w:rPr>
                                <w:b/>
                                <w:i w:val="0"/>
                                <w:color w:val="000000" w:themeColor="text1"/>
                              </w:rPr>
                              <w:t xml:space="preserve"> parameter</w:t>
                            </w:r>
                            <w:r w:rsidR="00111346" w:rsidRPr="0038701C">
                              <w:rPr>
                                <w:b/>
                                <w:i w:val="0"/>
                                <w:color w:val="000000" w:themeColor="text1"/>
                              </w:rPr>
                              <w:t>.</w:t>
                            </w:r>
                          </w:p>
                          <w:p w:rsidR="002914B7" w:rsidRDefault="002914B7" w:rsidP="00111346">
                            <w:pPr>
                              <w:pStyle w:val="Caption"/>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169.3pt;width:232.7pt;height:65.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" stroked="f">
                <v:textbox>
                  <w:txbxContent>
                    <w:p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2: </w:t>
                      </w:r>
                      <w:r w:rsidR="00111346" w:rsidRPr="0038701C">
                        <w:rPr>
                          <w:b/>
                          <w:i w:val="0"/>
                          <w:color w:val="000000" w:themeColor="text1"/>
                        </w:rPr>
                        <w:t>Number N</w:t>
                      </w:r>
                      <w:r w:rsidR="00111346" w:rsidRPr="0038701C">
                        <w:rPr>
                          <w:b/>
                          <w:i w:val="0"/>
                          <w:color w:val="000000" w:themeColor="text1"/>
                          <w:vertAlign w:val="subscript"/>
                        </w:rPr>
                        <w:t xml:space="preserve">g,PO </w:t>
                      </w:r>
                      <w:r w:rsidR="00111346" w:rsidRPr="0038701C">
                        <w:rPr>
                          <w:b/>
                          <w:i w:val="0"/>
                          <w:color w:val="000000" w:themeColor="text1"/>
                        </w:rPr>
                        <w:t>of PGs per PO</w:t>
                      </w:r>
                      <w:r w:rsidR="00922E27" w:rsidRPr="0038701C">
                        <w:rPr>
                          <w:b/>
                          <w:i w:val="0"/>
                          <w:color w:val="000000" w:themeColor="text1"/>
                        </w:rPr>
                        <w:t>,</w:t>
                      </w:r>
                      <w:r w:rsidR="00111346" w:rsidRPr="0038701C">
                        <w:rPr>
                          <w:b/>
                          <w:i w:val="0"/>
                          <w:color w:val="000000" w:themeColor="text1"/>
                        </w:rPr>
                        <w:t xml:space="preserve"> determining the length of the DL bitmap in bits</w:t>
                      </w:r>
                      <w:r w:rsidR="00922E27" w:rsidRPr="0038701C">
                        <w:rPr>
                          <w:b/>
                          <w:i w:val="0"/>
                          <w:color w:val="000000" w:themeColor="text1"/>
                        </w:rPr>
                        <w:t>, is shown for DRX cycle of T = 320 ms</w:t>
                      </w:r>
                      <w:r w:rsidR="00111346" w:rsidRPr="0038701C">
                        <w:rPr>
                          <w:b/>
                          <w:i w:val="0"/>
                          <w:color w:val="000000" w:themeColor="text1"/>
                        </w:rPr>
                        <w:t xml:space="preserve"> as a function of the number of POs per frame nB/T with the total number N</w:t>
                      </w:r>
                      <w:r w:rsidR="00111346" w:rsidRPr="0038701C">
                        <w:rPr>
                          <w:b/>
                          <w:i w:val="0"/>
                          <w:color w:val="000000" w:themeColor="text1"/>
                          <w:vertAlign w:val="subscript"/>
                        </w:rPr>
                        <w:t>g</w:t>
                      </w:r>
                      <w:r w:rsidR="00111346" w:rsidRPr="0038701C">
                        <w:rPr>
                          <w:b/>
                          <w:i w:val="0"/>
                          <w:color w:val="000000" w:themeColor="text1"/>
                        </w:rPr>
                        <w:t xml:space="preserve"> of PGs as a</w:t>
                      </w:r>
                      <w:r w:rsidR="004816C0">
                        <w:rPr>
                          <w:b/>
                          <w:i w:val="0"/>
                          <w:color w:val="000000" w:themeColor="text1"/>
                        </w:rPr>
                        <w:t xml:space="preserve"> parameter</w:t>
                      </w:r>
                      <w:r w:rsidR="00111346" w:rsidRPr="0038701C">
                        <w:rPr>
                          <w:b/>
                          <w:i w:val="0"/>
                          <w:color w:val="000000" w:themeColor="text1"/>
                        </w:rPr>
                        <w:t>.</w:t>
                      </w:r>
                    </w:p>
                    <w:p w:rsidR="002914B7" w:rsidRDefault="002914B7" w:rsidP="00111346">
                      <w:pPr>
                        <w:pStyle w:val="Caption"/>
                      </w:pPr>
                    </w:p>
                  </w:txbxContent>
                </v:textbox>
                <w10:wrap type="square" anchorx="margin"/>
              </v:shape>
            </w:pict>
          </mc:Fallback>
        </mc:AlternateContent>
      </w:r>
      <w:r w:rsidR="008A48BD">
        <w:rPr>
          <w:noProof/>
          <w:lang w:val="en-US"/>
        </w:rPr>
        <mc:AlternateContent>
          <mc:Choice Requires="wps">
            <w:drawing>
              <wp:anchor distT="45720" distB="45720" distL="114300" distR="114300" simplePos="0" relativeHeight="251663360" behindDoc="0" locked="0" layoutInCell="1" allowOverlap="1" wp14:anchorId="186EBB7F" wp14:editId="6B1BBB9E">
                <wp:simplePos x="0" y="0"/>
                <wp:positionH relativeFrom="margin">
                  <wp:posOffset>3084195</wp:posOffset>
                </wp:positionH>
                <wp:positionV relativeFrom="paragraph">
                  <wp:posOffset>2143125</wp:posOffset>
                </wp:positionV>
                <wp:extent cx="2926080" cy="592455"/>
                <wp:effectExtent l="0" t="0" r="762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6080" cy="592455"/>
                        </a:xfrm>
                        <a:prstGeom prst="rect">
                          <a:avLst/>
                        </a:prstGeom>
                        <a:solidFill>
                          <a:srgbClr val="FFFFFF"/>
                        </a:solidFill>
                        <a:ln w="9525">
                          <a:noFill/>
                          <a:miter lim="800000"/>
                          <a:headEnd/>
                          <a:tailEnd/>
                        </a:ln>
                      </wps:spPr>
                      <wps:txbx>
                        <w:txbxContent>
                          <w:p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3: </w:t>
                            </w:r>
                            <w:r w:rsidR="00111346" w:rsidRPr="0038701C">
                              <w:rPr>
                                <w:b/>
                                <w:i w:val="0"/>
                                <w:color w:val="000000" w:themeColor="text1"/>
                              </w:rPr>
                              <w:t>Number N</w:t>
                            </w:r>
                            <w:r w:rsidR="00111346" w:rsidRPr="0038701C">
                              <w:rPr>
                                <w:b/>
                                <w:i w:val="0"/>
                                <w:color w:val="000000" w:themeColor="text1"/>
                                <w:vertAlign w:val="subscript"/>
                              </w:rPr>
                              <w:t xml:space="preserve">p </w:t>
                            </w:r>
                            <w:r w:rsidR="00111346" w:rsidRPr="0038701C">
                              <w:rPr>
                                <w:b/>
                                <w:i w:val="0"/>
                                <w:color w:val="000000" w:themeColor="text1"/>
                              </w:rPr>
                              <w:t xml:space="preserve">of </w:t>
                            </w:r>
                            <w:r w:rsidR="00824B05" w:rsidRPr="0038701C">
                              <w:rPr>
                                <w:b/>
                                <w:i w:val="0"/>
                                <w:color w:val="000000" w:themeColor="text1"/>
                              </w:rPr>
                              <w:t xml:space="preserve">UEs per PG </w:t>
                            </w:r>
                            <w:r w:rsidR="00111346" w:rsidRPr="0038701C">
                              <w:rPr>
                                <w:b/>
                                <w:i w:val="0"/>
                                <w:color w:val="000000" w:themeColor="text1"/>
                              </w:rPr>
                              <w:t xml:space="preserve">as a function </w:t>
                            </w:r>
                            <w:r w:rsidR="00824B05" w:rsidRPr="0038701C">
                              <w:rPr>
                                <w:b/>
                                <w:i w:val="0"/>
                                <w:color w:val="000000" w:themeColor="text1"/>
                              </w:rPr>
                              <w:t xml:space="preserve">of </w:t>
                            </w:r>
                            <w:r w:rsidR="00111346" w:rsidRPr="0038701C">
                              <w:rPr>
                                <w:b/>
                                <w:i w:val="0"/>
                                <w:color w:val="000000" w:themeColor="text1"/>
                              </w:rPr>
                              <w:t>the total number N</w:t>
                            </w:r>
                            <w:r w:rsidR="00111346" w:rsidRPr="0038701C">
                              <w:rPr>
                                <w:b/>
                                <w:i w:val="0"/>
                                <w:color w:val="000000" w:themeColor="text1"/>
                                <w:vertAlign w:val="subscript"/>
                              </w:rPr>
                              <w:t>g</w:t>
                            </w:r>
                            <w:r w:rsidR="00111346" w:rsidRPr="0038701C">
                              <w:rPr>
                                <w:b/>
                                <w:i w:val="0"/>
                                <w:color w:val="000000" w:themeColor="text1"/>
                              </w:rPr>
                              <w:t xml:space="preserve"> of PGs </w:t>
                            </w:r>
                            <w:r w:rsidR="00824B05" w:rsidRPr="0038701C">
                              <w:rPr>
                                <w:b/>
                                <w:i w:val="0"/>
                                <w:color w:val="000000" w:themeColor="text1"/>
                              </w:rPr>
                              <w:t>with the number N</w:t>
                            </w:r>
                            <w:r w:rsidR="00824B05" w:rsidRPr="0038701C">
                              <w:rPr>
                                <w:b/>
                                <w:i w:val="0"/>
                                <w:color w:val="000000" w:themeColor="text1"/>
                                <w:vertAlign w:val="subscript"/>
                              </w:rPr>
                              <w:t>c</w:t>
                            </w:r>
                            <w:r w:rsidR="00824B05" w:rsidRPr="0038701C">
                              <w:rPr>
                                <w:b/>
                                <w:i w:val="0"/>
                                <w:color w:val="000000" w:themeColor="text1"/>
                              </w:rPr>
                              <w:t xml:space="preserve"> of UEs per cell as a parameter.</w:t>
                            </w:r>
                          </w:p>
                          <w:p w:rsidR="002914B7" w:rsidRDefault="002914B7" w:rsidP="00111346">
                            <w:pPr>
                              <w:pStyle w:val="Caption"/>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6EBB7F" id="_x0000_s1027" type="#_x0000_t202" style="position:absolute;margin-left:242.85pt;margin-top:168.75pt;width:230.4pt;height:46.6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" stroked="f">
                <v:textbox>
                  <w:txbxContent>
                    <w:p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3: </w:t>
                      </w:r>
                      <w:r w:rsidR="00111346" w:rsidRPr="0038701C">
                        <w:rPr>
                          <w:b/>
                          <w:i w:val="0"/>
                          <w:color w:val="000000" w:themeColor="text1"/>
                        </w:rPr>
                        <w:t>Number N</w:t>
                      </w:r>
                      <w:r w:rsidR="00111346" w:rsidRPr="0038701C">
                        <w:rPr>
                          <w:b/>
                          <w:i w:val="0"/>
                          <w:color w:val="000000" w:themeColor="text1"/>
                          <w:vertAlign w:val="subscript"/>
                        </w:rPr>
                        <w:t xml:space="preserve">p </w:t>
                      </w:r>
                      <w:r w:rsidR="00111346" w:rsidRPr="0038701C">
                        <w:rPr>
                          <w:b/>
                          <w:i w:val="0"/>
                          <w:color w:val="000000" w:themeColor="text1"/>
                        </w:rPr>
                        <w:t xml:space="preserve">of </w:t>
                      </w:r>
                      <w:r w:rsidR="00824B05" w:rsidRPr="0038701C">
                        <w:rPr>
                          <w:b/>
                          <w:i w:val="0"/>
                          <w:color w:val="000000" w:themeColor="text1"/>
                        </w:rPr>
                        <w:t xml:space="preserve">UEs per PG </w:t>
                      </w:r>
                      <w:r w:rsidR="00111346" w:rsidRPr="0038701C">
                        <w:rPr>
                          <w:b/>
                          <w:i w:val="0"/>
                          <w:color w:val="000000" w:themeColor="text1"/>
                        </w:rPr>
                        <w:t xml:space="preserve">as a function </w:t>
                      </w:r>
                      <w:r w:rsidR="00824B05" w:rsidRPr="0038701C">
                        <w:rPr>
                          <w:b/>
                          <w:i w:val="0"/>
                          <w:color w:val="000000" w:themeColor="text1"/>
                        </w:rPr>
                        <w:t xml:space="preserve">of </w:t>
                      </w:r>
                      <w:r w:rsidR="00111346" w:rsidRPr="0038701C">
                        <w:rPr>
                          <w:b/>
                          <w:i w:val="0"/>
                          <w:color w:val="000000" w:themeColor="text1"/>
                        </w:rPr>
                        <w:t>the total number N</w:t>
                      </w:r>
                      <w:r w:rsidR="00111346" w:rsidRPr="0038701C">
                        <w:rPr>
                          <w:b/>
                          <w:i w:val="0"/>
                          <w:color w:val="000000" w:themeColor="text1"/>
                          <w:vertAlign w:val="subscript"/>
                        </w:rPr>
                        <w:t>g</w:t>
                      </w:r>
                      <w:r w:rsidR="00111346" w:rsidRPr="0038701C">
                        <w:rPr>
                          <w:b/>
                          <w:i w:val="0"/>
                          <w:color w:val="000000" w:themeColor="text1"/>
                        </w:rPr>
                        <w:t xml:space="preserve"> of PGs </w:t>
                      </w:r>
                      <w:r w:rsidR="00824B05" w:rsidRPr="0038701C">
                        <w:rPr>
                          <w:b/>
                          <w:i w:val="0"/>
                          <w:color w:val="000000" w:themeColor="text1"/>
                        </w:rPr>
                        <w:t>with the number N</w:t>
                      </w:r>
                      <w:r w:rsidR="00824B05" w:rsidRPr="0038701C">
                        <w:rPr>
                          <w:b/>
                          <w:i w:val="0"/>
                          <w:color w:val="000000" w:themeColor="text1"/>
                          <w:vertAlign w:val="subscript"/>
                        </w:rPr>
                        <w:t>c</w:t>
                      </w:r>
                      <w:r w:rsidR="00824B05" w:rsidRPr="0038701C">
                        <w:rPr>
                          <w:b/>
                          <w:i w:val="0"/>
                          <w:color w:val="000000" w:themeColor="text1"/>
                        </w:rPr>
                        <w:t xml:space="preserve"> of UEs per cell as a parameter.</w:t>
                      </w:r>
                    </w:p>
                    <w:p w:rsidR="002914B7" w:rsidRDefault="002914B7" w:rsidP="00111346">
                      <w:pPr>
                        <w:pStyle w:val="Caption"/>
                      </w:pPr>
                    </w:p>
                  </w:txbxContent>
                </v:textbox>
                <w10:wrap type="square" anchorx="margin"/>
              </v:shape>
            </w:pict>
          </mc:Fallback>
        </mc:AlternateContent>
      </w:r>
      <w:r w:rsidR="000A4CDF">
        <w:rPr>
          <w:noProof/>
          <w:lang w:val="en-US"/>
        </w:rPr>
        <w:drawing>
          <wp:inline distT="0" distB="0" distL="0" distR="0">
            <wp:extent cx="2955600" cy="208800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2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55600" cy="2088000"/>
                    </a:xfrm>
                    <a:prstGeom prst="rect">
                      <a:avLst/>
                    </a:prstGeom>
                  </pic:spPr>
                </pic:pic>
              </a:graphicData>
            </a:graphic>
          </wp:inline>
        </w:drawing>
      </w:r>
      <w:r w:rsidR="002914B7">
        <w:rPr>
          <w:noProof/>
          <w:lang w:val="en-US"/>
        </w:rPr>
        <w:drawing>
          <wp:inline distT="0" distB="0" distL="0" distR="0" wp14:anchorId="503A7858" wp14:editId="6E27B86F">
            <wp:extent cx="2955600" cy="20880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55600" cy="2088000"/>
                    </a:xfrm>
                    <a:prstGeom prst="rect">
                      <a:avLst/>
                    </a:prstGeom>
                  </pic:spPr>
                </pic:pic>
              </a:graphicData>
            </a:graphic>
          </wp:inline>
        </w:drawing>
      </w:r>
    </w:p>
    <w:p w:rsidR="002C2B21" w:rsidRPr="002C2B21" w:rsidRDefault="002C2B21" w:rsidP="002914B7">
      <w:pPr>
        <w:jc w:val="center"/>
      </w:pPr>
    </w:p>
    <w:p w:rsidR="001710F0" w:rsidRPr="001710F0" w:rsidRDefault="001710F0" w:rsidP="0081516B">
      <w:r>
        <w:t>Fig. 3 shows the number</w:t>
      </w:r>
      <w:r w:rsidRPr="001710F0">
        <w:t xml:space="preserve"> N</w:t>
      </w:r>
      <w:r w:rsidRPr="001710F0">
        <w:rPr>
          <w:vertAlign w:val="subscript"/>
        </w:rPr>
        <w:t>p</w:t>
      </w:r>
      <w:r w:rsidRPr="001710F0">
        <w:t xml:space="preserve"> of UEs per PG as a function of the total number N</w:t>
      </w:r>
      <w:r w:rsidRPr="001710F0">
        <w:rPr>
          <w:vertAlign w:val="subscript"/>
        </w:rPr>
        <w:t>g</w:t>
      </w:r>
      <w:r w:rsidRPr="001710F0">
        <w:t xml:space="preserve"> of PGs with the number N</w:t>
      </w:r>
      <w:r w:rsidRPr="001710F0">
        <w:rPr>
          <w:vertAlign w:val="subscript"/>
        </w:rPr>
        <w:t>c</w:t>
      </w:r>
      <w:r w:rsidRPr="001710F0">
        <w:t xml:space="preserve"> of UEs per cell as a parameter.</w:t>
      </w:r>
      <w:r>
        <w:t xml:space="preserve"> Herein, </w:t>
      </w:r>
      <w:r w:rsidRPr="001710F0">
        <w:t>N</w:t>
      </w:r>
      <w:r w:rsidRPr="001710F0">
        <w:rPr>
          <w:vertAlign w:val="subscript"/>
        </w:rPr>
        <w:t>p</w:t>
      </w:r>
      <w:r>
        <w:rPr>
          <w:vertAlign w:val="subscript"/>
        </w:rPr>
        <w:t xml:space="preserve"> </w:t>
      </w:r>
      <w:r>
        <w:t xml:space="preserve">decreases for higher </w:t>
      </w:r>
      <w:r w:rsidRPr="001710F0">
        <w:t>N</w:t>
      </w:r>
      <w:r>
        <w:rPr>
          <w:vertAlign w:val="subscript"/>
        </w:rPr>
        <w:t xml:space="preserve">g </w:t>
      </w:r>
      <w:r>
        <w:t xml:space="preserve">since less the number of UEs would monitor the same PG. A  smaller </w:t>
      </w:r>
      <w:r w:rsidRPr="001710F0">
        <w:t>N</w:t>
      </w:r>
      <w:r w:rsidRPr="001710F0">
        <w:rPr>
          <w:vertAlign w:val="subscript"/>
        </w:rPr>
        <w:t>p</w:t>
      </w:r>
      <w:r>
        <w:rPr>
          <w:vertAlign w:val="subscript"/>
        </w:rPr>
        <w:t xml:space="preserve"> </w:t>
      </w:r>
      <w:r>
        <w:t xml:space="preserve">leads to a smaller number </w:t>
      </w:r>
      <w:r w:rsidR="00E80BD4">
        <w:t>N</w:t>
      </w:r>
      <w:r w:rsidR="00E80BD4">
        <w:rPr>
          <w:vertAlign w:val="subscript"/>
        </w:rPr>
        <w:t>a</w:t>
      </w:r>
      <w:r w:rsidR="00E80BD4">
        <w:t xml:space="preserve"> </w:t>
      </w:r>
      <w:r>
        <w:t>of UL access per PO in a cell as shown in Eq. (4).</w:t>
      </w:r>
    </w:p>
    <w:p w:rsidR="00E80BD4" w:rsidRPr="00E80BD4" w:rsidRDefault="00E80BD4" w:rsidP="0081516B">
      <w:pPr>
        <w:rPr>
          <w:b/>
        </w:rPr>
      </w:pPr>
      <w:r w:rsidRPr="00E80BD4">
        <w:rPr>
          <w:b/>
        </w:rPr>
        <w:t>Observation 6: The number of UEs per paging group decreases for higher number of paging groups.</w:t>
      </w:r>
    </w:p>
    <w:p w:rsidR="00E80BD4" w:rsidRPr="00E80BD4" w:rsidRDefault="00E80BD4" w:rsidP="0081516B">
      <w:r>
        <w:t xml:space="preserve">Increasing </w:t>
      </w:r>
      <w:r w:rsidRPr="001710F0">
        <w:t>N</w:t>
      </w:r>
      <w:r w:rsidRPr="001710F0">
        <w:rPr>
          <w:vertAlign w:val="subscript"/>
        </w:rPr>
        <w:t>g</w:t>
      </w:r>
      <w:r>
        <w:rPr>
          <w:vertAlign w:val="subscript"/>
        </w:rPr>
        <w:t xml:space="preserve"> </w:t>
      </w:r>
      <w:r>
        <w:t xml:space="preserve">reduces </w:t>
      </w:r>
      <w:r w:rsidRPr="001710F0">
        <w:t>N</w:t>
      </w:r>
      <w:r w:rsidRPr="001710F0">
        <w:rPr>
          <w:vertAlign w:val="subscript"/>
        </w:rPr>
        <w:t>p</w:t>
      </w:r>
      <w:r>
        <w:rPr>
          <w:vertAlign w:val="subscript"/>
        </w:rPr>
        <w:t xml:space="preserve"> </w:t>
      </w:r>
      <w:r>
        <w:t xml:space="preserve">and in turn the number of UL access per PO as shown in Fig. 3, however, for a fixed nB/T the length of the DL bitmap in bits </w:t>
      </w:r>
      <w:r w:rsidR="001B67B5">
        <w:t>would increase causing more DL radio resource overhead</w:t>
      </w:r>
      <w:r>
        <w:t xml:space="preserve">. For instance, increasing </w:t>
      </w:r>
      <w:r w:rsidRPr="001710F0">
        <w:t>N</w:t>
      </w:r>
      <w:r w:rsidRPr="001710F0">
        <w:rPr>
          <w:vertAlign w:val="subscript"/>
        </w:rPr>
        <w:t>g</w:t>
      </w:r>
      <w:r w:rsidR="00171A56">
        <w:rPr>
          <w:vertAlign w:val="subscript"/>
        </w:rPr>
        <w:t xml:space="preserve"> </w:t>
      </w:r>
      <w:r w:rsidR="00171A56">
        <w:t xml:space="preserve">in Fig. 3 </w:t>
      </w:r>
      <w:r>
        <w:t xml:space="preserve">from 128 to 512 reduces </w:t>
      </w:r>
      <w:r w:rsidRPr="001710F0">
        <w:t>N</w:t>
      </w:r>
      <w:r w:rsidRPr="001710F0">
        <w:rPr>
          <w:vertAlign w:val="subscript"/>
        </w:rPr>
        <w:t>p</w:t>
      </w:r>
      <w:r>
        <w:rPr>
          <w:vertAlign w:val="subscript"/>
        </w:rPr>
        <w:t xml:space="preserve"> </w:t>
      </w:r>
      <w:r>
        <w:t>from 8</w:t>
      </w:r>
      <w:r w:rsidR="00171A56">
        <w:t xml:space="preserve"> to 2 for a cell with 1024 UEs, h</w:t>
      </w:r>
      <w:r>
        <w:t>owever, the length of the DL bitmap would</w:t>
      </w:r>
      <w:r w:rsidR="00171A56">
        <w:t xml:space="preserve"> then</w:t>
      </w:r>
      <w:r>
        <w:t xml:space="preserve"> increase from 4 bits to 16 bits for nB/T = </w:t>
      </w:r>
      <w:r w:rsidR="00EF18B2">
        <w:t>1</w:t>
      </w:r>
      <w:r>
        <w:t xml:space="preserve"> as shown in Fig. 3</w:t>
      </w:r>
      <w:r w:rsidR="00A354AB">
        <w:t>.</w:t>
      </w:r>
      <w:r w:rsidR="00AE06E7">
        <w:t xml:space="preserve"> </w:t>
      </w:r>
    </w:p>
    <w:p w:rsidR="00784AFC" w:rsidRDefault="008934FE" w:rsidP="0081516B">
      <w:pPr>
        <w:rPr>
          <w:b/>
        </w:rPr>
      </w:pPr>
      <w:r w:rsidRPr="00E80BD4">
        <w:rPr>
          <w:b/>
        </w:rPr>
        <w:t xml:space="preserve">Observation </w:t>
      </w:r>
      <w:r>
        <w:rPr>
          <w:b/>
        </w:rPr>
        <w:t>7</w:t>
      </w:r>
      <w:r w:rsidRPr="00E80BD4">
        <w:rPr>
          <w:b/>
        </w:rPr>
        <w:t xml:space="preserve">: The number </w:t>
      </w:r>
      <w:r w:rsidR="00CA53CF">
        <w:rPr>
          <w:b/>
        </w:rPr>
        <w:t>of paging group controls the trade-off between the DL and UL radio resource overhead for a given number of POs per DRX cycle.</w:t>
      </w:r>
    </w:p>
    <w:p w:rsidR="00FC43F4" w:rsidRPr="00F23DE4" w:rsidRDefault="00FC43F4" w:rsidP="0081516B">
      <w:pPr>
        <w:rPr>
          <w:b/>
        </w:rPr>
      </w:pPr>
      <w:r>
        <w:lastRenderedPageBreak/>
        <w:t>It has been shown in this analysis that the number of UL access can be controlled</w:t>
      </w:r>
      <w:r w:rsidR="00963431">
        <w:t xml:space="preserve"> </w:t>
      </w:r>
      <w:r w:rsidR="00B1684F">
        <w:t xml:space="preserve">for </w:t>
      </w:r>
      <w:r w:rsidR="00467FA7">
        <w:t xml:space="preserve">the </w:t>
      </w:r>
      <w:r w:rsidR="003D5BE3">
        <w:t>paging indicator</w:t>
      </w:r>
      <w:r w:rsidR="00B1684F">
        <w:t xml:space="preserve"> method</w:t>
      </w:r>
      <w:r w:rsidR="003D5BE3">
        <w:t xml:space="preserve"> </w:t>
      </w:r>
      <w:r w:rsidR="00963431">
        <w:t>by proper configuration</w:t>
      </w:r>
      <w:r w:rsidR="00373A16">
        <w:t xml:space="preserve"> of the paging parameters</w:t>
      </w:r>
      <w:r w:rsidR="003D5BE3">
        <w:t>.</w:t>
      </w:r>
      <w:r w:rsidR="00804423" w:rsidRPr="00804423">
        <w:t xml:space="preserve"> </w:t>
      </w:r>
      <w:r w:rsidR="00804423">
        <w:t xml:space="preserve">As proposed in </w:t>
      </w:r>
      <w:r w:rsidR="00804423">
        <w:fldChar w:fldCharType="begin"/>
      </w:r>
      <w:r w:rsidR="00804423">
        <w:instrText xml:space="preserve"> REF _Ref477355352 \r \h </w:instrText>
      </w:r>
      <w:r w:rsidR="00804423">
        <w:fldChar w:fldCharType="separate"/>
      </w:r>
      <w:r w:rsidR="00804423">
        <w:t>[4]</w:t>
      </w:r>
      <w:r w:rsidR="00804423">
        <w:fldChar w:fldCharType="end"/>
      </w:r>
      <w:r w:rsidR="008D2E5C">
        <w:t xml:space="preserve">, paging indicator can </w:t>
      </w:r>
      <w:r w:rsidR="00CA6173">
        <w:t xml:space="preserve">be </w:t>
      </w:r>
      <w:r w:rsidR="009C7965">
        <w:t>used</w:t>
      </w:r>
      <w:r>
        <w:t xml:space="preserve"> as an option that can be configured by the network for paging the</w:t>
      </w:r>
      <w:r w:rsidR="00C85FC4">
        <w:t xml:space="preserve"> UEs </w:t>
      </w:r>
      <w:r w:rsidR="000E10B1">
        <w:t>depending on the network setup and scenario</w:t>
      </w:r>
      <w:r w:rsidR="00A37B2A">
        <w:t>.</w:t>
      </w:r>
    </w:p>
    <w:p w:rsidR="00CD4C7B" w:rsidRPr="006E13D1" w:rsidRDefault="00CD4C7B" w:rsidP="00CD4C7B">
      <w:pPr>
        <w:pStyle w:val="Heading1"/>
      </w:pPr>
      <w:r w:rsidRPr="006E13D1">
        <w:t>4</w:t>
      </w:r>
      <w:r w:rsidRPr="006E13D1">
        <w:tab/>
      </w:r>
      <w:r w:rsidR="006160D3">
        <w:t>Conclusion</w:t>
      </w:r>
    </w:p>
    <w:p w:rsidR="00CD4C7B" w:rsidRDefault="00FC43F4" w:rsidP="00CD4C7B">
      <w:r>
        <w:t xml:space="preserve">In this contribution, we have evaluated the UL access overhead of the paging procedure </w:t>
      </w:r>
      <w:r w:rsidR="00D969C7">
        <w:t>that uses paging indicator. The following has been observed:</w:t>
      </w:r>
    </w:p>
    <w:p w:rsidR="008916B1" w:rsidRDefault="008916B1" w:rsidP="008916B1">
      <w:pPr>
        <w:pStyle w:val="B1"/>
        <w:ind w:left="0" w:firstLine="0"/>
        <w:rPr>
          <w:b/>
          <w:lang w:val="en-US"/>
        </w:rPr>
      </w:pPr>
      <w:r w:rsidRPr="009E6A86">
        <w:rPr>
          <w:b/>
          <w:lang w:val="en-US"/>
        </w:rPr>
        <w:t>Observation 1: The number of UEs performing UL access</w:t>
      </w:r>
      <w:r>
        <w:rPr>
          <w:b/>
          <w:lang w:val="en-US"/>
        </w:rPr>
        <w:t xml:space="preserve"> per PO</w:t>
      </w:r>
      <w:r w:rsidRPr="009E6A86">
        <w:rPr>
          <w:b/>
          <w:lang w:val="en-US"/>
        </w:rPr>
        <w:t xml:space="preserve"> reduces for higher number of POs within a DRX cycle.</w:t>
      </w:r>
    </w:p>
    <w:p w:rsidR="008916B1" w:rsidRDefault="008916B1" w:rsidP="008916B1">
      <w:pPr>
        <w:pStyle w:val="B1"/>
        <w:ind w:left="0" w:firstLine="0"/>
        <w:rPr>
          <w:b/>
          <w:lang w:val="en-US"/>
        </w:rPr>
      </w:pPr>
      <w:r w:rsidRPr="009E6A86">
        <w:rPr>
          <w:b/>
          <w:lang w:val="en-US"/>
        </w:rPr>
        <w:t xml:space="preserve">Observation </w:t>
      </w:r>
      <w:r>
        <w:rPr>
          <w:b/>
          <w:lang w:val="en-US"/>
        </w:rPr>
        <w:t>2:</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increases for a higher number of UEs per cell.</w:t>
      </w:r>
    </w:p>
    <w:p w:rsidR="008916B1" w:rsidRDefault="008916B1" w:rsidP="008916B1">
      <w:pPr>
        <w:pStyle w:val="B1"/>
        <w:ind w:left="0" w:firstLine="0"/>
        <w:rPr>
          <w:b/>
          <w:lang w:val="en-US"/>
        </w:rPr>
      </w:pPr>
      <w:r w:rsidRPr="009E6A86">
        <w:rPr>
          <w:b/>
          <w:lang w:val="en-US"/>
        </w:rPr>
        <w:t xml:space="preserve">Observation </w:t>
      </w:r>
      <w:r>
        <w:rPr>
          <w:b/>
          <w:lang w:val="en-US"/>
        </w:rPr>
        <w:t>3:</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decreases for a higher DRX cycle given that the numbers of POs per frame and UEs in a cell remain the same.</w:t>
      </w:r>
    </w:p>
    <w:p w:rsidR="008916B1" w:rsidRDefault="008916B1" w:rsidP="008916B1">
      <w:pPr>
        <w:pStyle w:val="B1"/>
        <w:ind w:left="0" w:firstLine="0"/>
        <w:rPr>
          <w:b/>
          <w:lang w:val="en-US"/>
        </w:rPr>
      </w:pPr>
      <w:r w:rsidRPr="009E6A86">
        <w:rPr>
          <w:b/>
          <w:lang w:val="en-US"/>
        </w:rPr>
        <w:t xml:space="preserve">Observation </w:t>
      </w:r>
      <w:r>
        <w:rPr>
          <w:b/>
          <w:lang w:val="en-US"/>
        </w:rPr>
        <w:t>4:</w:t>
      </w:r>
      <w:r w:rsidRPr="009E6A86">
        <w:rPr>
          <w:b/>
          <w:lang w:val="en-US"/>
        </w:rPr>
        <w:t xml:space="preserve"> The number of </w:t>
      </w:r>
      <w:r>
        <w:rPr>
          <w:b/>
          <w:lang w:val="en-US"/>
        </w:rPr>
        <w:t>UEs performing UL access per PO can be controlled by proper configuration of paging parameters as in any other network planning optimization problem.</w:t>
      </w:r>
    </w:p>
    <w:p w:rsidR="008916B1" w:rsidRPr="008A48BD" w:rsidRDefault="008916B1" w:rsidP="008916B1">
      <w:r w:rsidRPr="009E6A86">
        <w:rPr>
          <w:b/>
          <w:lang w:val="en-US"/>
        </w:rPr>
        <w:t xml:space="preserve">Observation </w:t>
      </w:r>
      <w:r>
        <w:rPr>
          <w:b/>
          <w:lang w:val="en-US"/>
        </w:rPr>
        <w:t>5:</w:t>
      </w:r>
      <w:r w:rsidRPr="009E6A86">
        <w:rPr>
          <w:b/>
          <w:lang w:val="en-US"/>
        </w:rPr>
        <w:t xml:space="preserve"> The</w:t>
      </w:r>
      <w:r>
        <w:rPr>
          <w:b/>
          <w:lang w:val="en-US"/>
        </w:rPr>
        <w:t xml:space="preserve"> length of the DL bitmap, determining the radio resource overhead in DL, decreases for higher configuration of nB/T.</w:t>
      </w:r>
    </w:p>
    <w:p w:rsidR="008916B1" w:rsidRPr="00E80BD4" w:rsidRDefault="008916B1" w:rsidP="008916B1">
      <w:pPr>
        <w:rPr>
          <w:b/>
        </w:rPr>
      </w:pPr>
      <w:r w:rsidRPr="00E80BD4">
        <w:rPr>
          <w:b/>
        </w:rPr>
        <w:t>Observation 6: The number of UEs per paging group decreases for higher number of paging groups.</w:t>
      </w:r>
    </w:p>
    <w:p w:rsidR="00592CEC" w:rsidRDefault="008916B1" w:rsidP="00CD4C7B">
      <w:pPr>
        <w:rPr>
          <w:b/>
        </w:rPr>
      </w:pPr>
      <w:r w:rsidRPr="00E80BD4">
        <w:rPr>
          <w:b/>
        </w:rPr>
        <w:t xml:space="preserve">Observation </w:t>
      </w:r>
      <w:r>
        <w:rPr>
          <w:b/>
        </w:rPr>
        <w:t>7</w:t>
      </w:r>
      <w:r w:rsidRPr="00E80BD4">
        <w:rPr>
          <w:b/>
        </w:rPr>
        <w:t xml:space="preserve">: The number </w:t>
      </w:r>
      <w:r>
        <w:rPr>
          <w:b/>
        </w:rPr>
        <w:t>of paging group controls the trade-off between the DL and UL radio resource overhead for a given number of POs per DRX cycle.</w:t>
      </w:r>
    </w:p>
    <w:p w:rsidR="00937B4B" w:rsidRPr="006360A4" w:rsidRDefault="00937B4B" w:rsidP="00CD4C7B">
      <w:pPr>
        <w:rPr>
          <w:b/>
        </w:rPr>
      </w:pPr>
      <w:r>
        <w:rPr>
          <w:b/>
        </w:rPr>
        <w:t>Proposal 1: Allow the configuration of flexible length paging indicators</w:t>
      </w:r>
      <w:bookmarkStart w:id="1" w:name="_GoBack"/>
      <w:bookmarkEnd w:id="1"/>
      <w:r>
        <w:rPr>
          <w:b/>
        </w:rPr>
        <w:t>.</w:t>
      </w:r>
    </w:p>
    <w:p w:rsidR="00CD4C7B" w:rsidRPr="006E13D1" w:rsidRDefault="00CD4C7B" w:rsidP="00CD4C7B">
      <w:pPr>
        <w:pStyle w:val="Heading1"/>
      </w:pPr>
      <w:r w:rsidRPr="006E13D1">
        <w:t>References</w:t>
      </w:r>
    </w:p>
    <w:p w:rsidR="00CD4C7B" w:rsidRDefault="00084D39" w:rsidP="00CD4C7B">
      <w:pPr>
        <w:numPr>
          <w:ilvl w:val="0"/>
          <w:numId w:val="4"/>
        </w:numPr>
        <w:overflowPunct w:val="0"/>
        <w:autoSpaceDE w:val="0"/>
        <w:autoSpaceDN w:val="0"/>
        <w:adjustRightInd w:val="0"/>
        <w:textAlignment w:val="baseline"/>
      </w:pPr>
      <w:bookmarkStart w:id="2" w:name="_Ref477161846"/>
      <w:r>
        <w:t>R2-1700672, Report of 3GPP TSG RAN WG2 AdHoc on NR</w:t>
      </w:r>
      <w:bookmarkEnd w:id="2"/>
    </w:p>
    <w:p w:rsidR="00635854" w:rsidRDefault="00635854" w:rsidP="00CD4C7B">
      <w:pPr>
        <w:numPr>
          <w:ilvl w:val="0"/>
          <w:numId w:val="4"/>
        </w:numPr>
        <w:overflowPunct w:val="0"/>
        <w:autoSpaceDE w:val="0"/>
        <w:autoSpaceDN w:val="0"/>
        <w:adjustRightInd w:val="0"/>
        <w:textAlignment w:val="baseline"/>
      </w:pPr>
      <w:bookmarkStart w:id="3" w:name="_Ref477162623"/>
      <w:r>
        <w:t xml:space="preserve">R2-1700807, Paging in NR at HF operation, </w:t>
      </w:r>
      <w:r w:rsidR="00172334">
        <w:t>Nokia, Alcatel-Lucent Shanghai Bell, 3GPP TSG-RAN WG2 NR #97, Athens, Greece, 13 -17 February 2017</w:t>
      </w:r>
      <w:bookmarkEnd w:id="3"/>
    </w:p>
    <w:p w:rsidR="00594A9B" w:rsidRDefault="00594A9B" w:rsidP="00594A9B">
      <w:pPr>
        <w:numPr>
          <w:ilvl w:val="0"/>
          <w:numId w:val="4"/>
        </w:numPr>
        <w:overflowPunct w:val="0"/>
        <w:autoSpaceDE w:val="0"/>
        <w:autoSpaceDN w:val="0"/>
        <w:adjustRightInd w:val="0"/>
        <w:textAlignment w:val="baseline"/>
      </w:pPr>
      <w:bookmarkStart w:id="4" w:name="_Ref457464949"/>
      <w:r>
        <w:t>3GPP TS 25.304, User equipment procedures in idle mode and procedures for cell reselection in connected mode</w:t>
      </w:r>
      <w:bookmarkEnd w:id="4"/>
    </w:p>
    <w:p w:rsidR="00181CD1" w:rsidRDefault="00181CD1" w:rsidP="00181CD1">
      <w:pPr>
        <w:numPr>
          <w:ilvl w:val="0"/>
          <w:numId w:val="4"/>
        </w:numPr>
        <w:overflowPunct w:val="0"/>
        <w:autoSpaceDE w:val="0"/>
        <w:autoSpaceDN w:val="0"/>
        <w:adjustRightInd w:val="0"/>
        <w:textAlignment w:val="baseline"/>
      </w:pPr>
      <w:bookmarkStart w:id="5" w:name="_Ref477355352"/>
      <w:r>
        <w:t>R2-17xxxxx, Configurable paging procedure for new radio, Nokia, Alcatel-Lucent Shanghai Bell, 3GPP TSG-RAN WG2 NR #97bis, Spokane, USA, 3 -7 April 2017</w:t>
      </w:r>
      <w:bookmarkEnd w:id="5"/>
    </w:p>
    <w:p w:rsidR="00181CD1" w:rsidRDefault="00181CD1" w:rsidP="00181CD1">
      <w:pPr>
        <w:overflowPunct w:val="0"/>
        <w:autoSpaceDE w:val="0"/>
        <w:autoSpaceDN w:val="0"/>
        <w:adjustRightInd w:val="0"/>
        <w:textAlignment w:val="baseline"/>
      </w:pPr>
    </w:p>
    <w:p w:rsidR="00594A9B" w:rsidRPr="006E13D1" w:rsidRDefault="00594A9B" w:rsidP="00594A9B">
      <w:pPr>
        <w:overflowPunct w:val="0"/>
        <w:autoSpaceDE w:val="0"/>
        <w:autoSpaceDN w:val="0"/>
        <w:adjustRightInd w:val="0"/>
        <w:textAlignment w:val="baseline"/>
      </w:pPr>
    </w:p>
    <w:p w:rsidR="00CD4C7B" w:rsidRDefault="00CD4C7B" w:rsidP="00CD4C7B"/>
    <w:p w:rsidR="00080512" w:rsidRPr="00CD4C7B" w:rsidRDefault="00080512" w:rsidP="00CD4C7B"/>
    <w:sectPr w:rsidR="00080512" w:rsidRPr="00CD4C7B">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3EA" w:rsidRDefault="00F563EA">
      <w:r>
        <w:separator/>
      </w:r>
    </w:p>
  </w:endnote>
  <w:endnote w:type="continuationSeparator" w:id="0">
    <w:p w:rsidR="00F563EA" w:rsidRDefault="00F56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6F5" w:rsidRDefault="00A52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3EA" w:rsidRDefault="00F563EA">
      <w:r>
        <w:separator/>
      </w:r>
    </w:p>
  </w:footnote>
  <w:footnote w:type="continuationSeparator" w:id="0">
    <w:p w:rsidR="00F563EA" w:rsidRDefault="00F56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548DE"/>
    <w:multiLevelType w:val="hybridMultilevel"/>
    <w:tmpl w:val="A18CF01E"/>
    <w:lvl w:ilvl="0" w:tplc="9CC48AA0">
      <w:start w:val="1"/>
      <w:numFmt w:val="lowerLetter"/>
      <w:lvlText w:val="(%1)"/>
      <w:lvlJc w:val="left"/>
      <w:pPr>
        <w:ind w:left="2064" w:hanging="360"/>
      </w:pPr>
      <w:rPr>
        <w:rFonts w:hint="default"/>
      </w:rPr>
    </w:lvl>
    <w:lvl w:ilvl="1" w:tplc="04070019" w:tentative="1">
      <w:start w:val="1"/>
      <w:numFmt w:val="lowerLetter"/>
      <w:lvlText w:val="%2."/>
      <w:lvlJc w:val="left"/>
      <w:pPr>
        <w:ind w:left="2784" w:hanging="360"/>
      </w:pPr>
    </w:lvl>
    <w:lvl w:ilvl="2" w:tplc="0407001B" w:tentative="1">
      <w:start w:val="1"/>
      <w:numFmt w:val="lowerRoman"/>
      <w:lvlText w:val="%3."/>
      <w:lvlJc w:val="right"/>
      <w:pPr>
        <w:ind w:left="3504" w:hanging="180"/>
      </w:pPr>
    </w:lvl>
    <w:lvl w:ilvl="3" w:tplc="0407000F" w:tentative="1">
      <w:start w:val="1"/>
      <w:numFmt w:val="decimal"/>
      <w:lvlText w:val="%4."/>
      <w:lvlJc w:val="left"/>
      <w:pPr>
        <w:ind w:left="4224" w:hanging="360"/>
      </w:pPr>
    </w:lvl>
    <w:lvl w:ilvl="4" w:tplc="04070019" w:tentative="1">
      <w:start w:val="1"/>
      <w:numFmt w:val="lowerLetter"/>
      <w:lvlText w:val="%5."/>
      <w:lvlJc w:val="left"/>
      <w:pPr>
        <w:ind w:left="4944" w:hanging="360"/>
      </w:pPr>
    </w:lvl>
    <w:lvl w:ilvl="5" w:tplc="0407001B" w:tentative="1">
      <w:start w:val="1"/>
      <w:numFmt w:val="lowerRoman"/>
      <w:lvlText w:val="%6."/>
      <w:lvlJc w:val="right"/>
      <w:pPr>
        <w:ind w:left="5664" w:hanging="180"/>
      </w:pPr>
    </w:lvl>
    <w:lvl w:ilvl="6" w:tplc="0407000F" w:tentative="1">
      <w:start w:val="1"/>
      <w:numFmt w:val="decimal"/>
      <w:lvlText w:val="%7."/>
      <w:lvlJc w:val="left"/>
      <w:pPr>
        <w:ind w:left="6384" w:hanging="360"/>
      </w:pPr>
    </w:lvl>
    <w:lvl w:ilvl="7" w:tplc="04070019" w:tentative="1">
      <w:start w:val="1"/>
      <w:numFmt w:val="lowerLetter"/>
      <w:lvlText w:val="%8."/>
      <w:lvlJc w:val="left"/>
      <w:pPr>
        <w:ind w:left="7104" w:hanging="360"/>
      </w:pPr>
    </w:lvl>
    <w:lvl w:ilvl="8" w:tplc="0407001B" w:tentative="1">
      <w:start w:val="1"/>
      <w:numFmt w:val="lowerRoman"/>
      <w:lvlText w:val="%9."/>
      <w:lvlJc w:val="right"/>
      <w:pPr>
        <w:ind w:left="7824" w:hanging="180"/>
      </w:pPr>
    </w:lvl>
  </w:abstractNum>
  <w:abstractNum w:abstractNumId="3" w15:restartNumberingAfterBreak="0">
    <w:nsid w:val="1DAE418C"/>
    <w:multiLevelType w:val="hybridMultilevel"/>
    <w:tmpl w:val="3870B338"/>
    <w:lvl w:ilvl="0" w:tplc="D370E6FE">
      <w:start w:val="1"/>
      <w:numFmt w:val="lowerLetter"/>
      <w:lvlText w:val="(%1)"/>
      <w:lvlJc w:val="left"/>
      <w:pPr>
        <w:ind w:left="2345" w:hanging="360"/>
      </w:pPr>
      <w:rPr>
        <w:rFonts w:hint="default"/>
      </w:rPr>
    </w:lvl>
    <w:lvl w:ilvl="1" w:tplc="04070019" w:tentative="1">
      <w:start w:val="1"/>
      <w:numFmt w:val="lowerLetter"/>
      <w:lvlText w:val="%2."/>
      <w:lvlJc w:val="left"/>
      <w:pPr>
        <w:ind w:left="3065" w:hanging="360"/>
      </w:pPr>
    </w:lvl>
    <w:lvl w:ilvl="2" w:tplc="0407001B" w:tentative="1">
      <w:start w:val="1"/>
      <w:numFmt w:val="lowerRoman"/>
      <w:lvlText w:val="%3."/>
      <w:lvlJc w:val="right"/>
      <w:pPr>
        <w:ind w:left="3785" w:hanging="180"/>
      </w:pPr>
    </w:lvl>
    <w:lvl w:ilvl="3" w:tplc="0407000F" w:tentative="1">
      <w:start w:val="1"/>
      <w:numFmt w:val="decimal"/>
      <w:lvlText w:val="%4."/>
      <w:lvlJc w:val="left"/>
      <w:pPr>
        <w:ind w:left="4505" w:hanging="360"/>
      </w:pPr>
    </w:lvl>
    <w:lvl w:ilvl="4" w:tplc="04070019" w:tentative="1">
      <w:start w:val="1"/>
      <w:numFmt w:val="lowerLetter"/>
      <w:lvlText w:val="%5."/>
      <w:lvlJc w:val="left"/>
      <w:pPr>
        <w:ind w:left="5225" w:hanging="360"/>
      </w:pPr>
    </w:lvl>
    <w:lvl w:ilvl="5" w:tplc="0407001B" w:tentative="1">
      <w:start w:val="1"/>
      <w:numFmt w:val="lowerRoman"/>
      <w:lvlText w:val="%6."/>
      <w:lvlJc w:val="right"/>
      <w:pPr>
        <w:ind w:left="5945" w:hanging="180"/>
      </w:pPr>
    </w:lvl>
    <w:lvl w:ilvl="6" w:tplc="0407000F" w:tentative="1">
      <w:start w:val="1"/>
      <w:numFmt w:val="decimal"/>
      <w:lvlText w:val="%7."/>
      <w:lvlJc w:val="left"/>
      <w:pPr>
        <w:ind w:left="6665" w:hanging="360"/>
      </w:pPr>
    </w:lvl>
    <w:lvl w:ilvl="7" w:tplc="04070019" w:tentative="1">
      <w:start w:val="1"/>
      <w:numFmt w:val="lowerLetter"/>
      <w:lvlText w:val="%8."/>
      <w:lvlJc w:val="left"/>
      <w:pPr>
        <w:ind w:left="7385" w:hanging="360"/>
      </w:pPr>
    </w:lvl>
    <w:lvl w:ilvl="8" w:tplc="0407001B" w:tentative="1">
      <w:start w:val="1"/>
      <w:numFmt w:val="lowerRoman"/>
      <w:lvlText w:val="%9."/>
      <w:lvlJc w:val="right"/>
      <w:pPr>
        <w:ind w:left="8105" w:hanging="180"/>
      </w:pPr>
    </w:lvl>
  </w:abstractNum>
  <w:abstractNum w:abstractNumId="4" w15:restartNumberingAfterBreak="0">
    <w:nsid w:val="24C1408A"/>
    <w:multiLevelType w:val="hybridMultilevel"/>
    <w:tmpl w:val="79CA9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66023E2"/>
    <w:multiLevelType w:val="hybridMultilevel"/>
    <w:tmpl w:val="88EA00EA"/>
    <w:lvl w:ilvl="0" w:tplc="8DFC88AE">
      <w:start w:val="1"/>
      <w:numFmt w:val="bullet"/>
      <w:lvlText w:val="o"/>
      <w:lvlJc w:val="left"/>
      <w:pPr>
        <w:tabs>
          <w:tab w:val="num" w:pos="720"/>
        </w:tabs>
        <w:ind w:left="720" w:hanging="360"/>
      </w:pPr>
      <w:rPr>
        <w:rFonts w:ascii="Courier New" w:hAnsi="Courier New" w:hint="default"/>
      </w:rPr>
    </w:lvl>
    <w:lvl w:ilvl="1" w:tplc="03A08BEC">
      <w:start w:val="1"/>
      <w:numFmt w:val="bullet"/>
      <w:lvlText w:val="o"/>
      <w:lvlJc w:val="left"/>
      <w:pPr>
        <w:tabs>
          <w:tab w:val="num" w:pos="1440"/>
        </w:tabs>
        <w:ind w:left="1440" w:hanging="360"/>
      </w:pPr>
      <w:rPr>
        <w:rFonts w:ascii="Courier New" w:hAnsi="Courier New" w:hint="default"/>
      </w:rPr>
    </w:lvl>
    <w:lvl w:ilvl="2" w:tplc="71425BC6" w:tentative="1">
      <w:start w:val="1"/>
      <w:numFmt w:val="bullet"/>
      <w:lvlText w:val="o"/>
      <w:lvlJc w:val="left"/>
      <w:pPr>
        <w:tabs>
          <w:tab w:val="num" w:pos="2160"/>
        </w:tabs>
        <w:ind w:left="2160" w:hanging="360"/>
      </w:pPr>
      <w:rPr>
        <w:rFonts w:ascii="Courier New" w:hAnsi="Courier New" w:hint="default"/>
      </w:rPr>
    </w:lvl>
    <w:lvl w:ilvl="3" w:tplc="4852F944" w:tentative="1">
      <w:start w:val="1"/>
      <w:numFmt w:val="bullet"/>
      <w:lvlText w:val="o"/>
      <w:lvlJc w:val="left"/>
      <w:pPr>
        <w:tabs>
          <w:tab w:val="num" w:pos="2880"/>
        </w:tabs>
        <w:ind w:left="2880" w:hanging="360"/>
      </w:pPr>
      <w:rPr>
        <w:rFonts w:ascii="Courier New" w:hAnsi="Courier New" w:hint="default"/>
      </w:rPr>
    </w:lvl>
    <w:lvl w:ilvl="4" w:tplc="31143A2A" w:tentative="1">
      <w:start w:val="1"/>
      <w:numFmt w:val="bullet"/>
      <w:lvlText w:val="o"/>
      <w:lvlJc w:val="left"/>
      <w:pPr>
        <w:tabs>
          <w:tab w:val="num" w:pos="3600"/>
        </w:tabs>
        <w:ind w:left="3600" w:hanging="360"/>
      </w:pPr>
      <w:rPr>
        <w:rFonts w:ascii="Courier New" w:hAnsi="Courier New" w:hint="default"/>
      </w:rPr>
    </w:lvl>
    <w:lvl w:ilvl="5" w:tplc="CC743C04" w:tentative="1">
      <w:start w:val="1"/>
      <w:numFmt w:val="bullet"/>
      <w:lvlText w:val="o"/>
      <w:lvlJc w:val="left"/>
      <w:pPr>
        <w:tabs>
          <w:tab w:val="num" w:pos="4320"/>
        </w:tabs>
        <w:ind w:left="4320" w:hanging="360"/>
      </w:pPr>
      <w:rPr>
        <w:rFonts w:ascii="Courier New" w:hAnsi="Courier New" w:hint="default"/>
      </w:rPr>
    </w:lvl>
    <w:lvl w:ilvl="6" w:tplc="F0AE092C" w:tentative="1">
      <w:start w:val="1"/>
      <w:numFmt w:val="bullet"/>
      <w:lvlText w:val="o"/>
      <w:lvlJc w:val="left"/>
      <w:pPr>
        <w:tabs>
          <w:tab w:val="num" w:pos="5040"/>
        </w:tabs>
        <w:ind w:left="5040" w:hanging="360"/>
      </w:pPr>
      <w:rPr>
        <w:rFonts w:ascii="Courier New" w:hAnsi="Courier New" w:hint="default"/>
      </w:rPr>
    </w:lvl>
    <w:lvl w:ilvl="7" w:tplc="50F8A936" w:tentative="1">
      <w:start w:val="1"/>
      <w:numFmt w:val="bullet"/>
      <w:lvlText w:val="o"/>
      <w:lvlJc w:val="left"/>
      <w:pPr>
        <w:tabs>
          <w:tab w:val="num" w:pos="5760"/>
        </w:tabs>
        <w:ind w:left="5760" w:hanging="360"/>
      </w:pPr>
      <w:rPr>
        <w:rFonts w:ascii="Courier New" w:hAnsi="Courier New" w:hint="default"/>
      </w:rPr>
    </w:lvl>
    <w:lvl w:ilvl="8" w:tplc="106A00E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5DE7400B"/>
    <w:multiLevelType w:val="hybridMultilevel"/>
    <w:tmpl w:val="7E7487A4"/>
    <w:lvl w:ilvl="0" w:tplc="CCC062B0">
      <w:start w:val="1"/>
      <w:numFmt w:val="lowerLetter"/>
      <w:lvlText w:val="(%1)"/>
      <w:lvlJc w:val="left"/>
      <w:pPr>
        <w:ind w:left="2265" w:hanging="360"/>
      </w:pPr>
      <w:rPr>
        <w:rFonts w:hint="default"/>
      </w:rPr>
    </w:lvl>
    <w:lvl w:ilvl="1" w:tplc="04070019" w:tentative="1">
      <w:start w:val="1"/>
      <w:numFmt w:val="lowerLetter"/>
      <w:lvlText w:val="%2."/>
      <w:lvlJc w:val="left"/>
      <w:pPr>
        <w:ind w:left="2985" w:hanging="360"/>
      </w:pPr>
    </w:lvl>
    <w:lvl w:ilvl="2" w:tplc="0407001B" w:tentative="1">
      <w:start w:val="1"/>
      <w:numFmt w:val="lowerRoman"/>
      <w:lvlText w:val="%3."/>
      <w:lvlJc w:val="right"/>
      <w:pPr>
        <w:ind w:left="3705" w:hanging="180"/>
      </w:pPr>
    </w:lvl>
    <w:lvl w:ilvl="3" w:tplc="0407000F" w:tentative="1">
      <w:start w:val="1"/>
      <w:numFmt w:val="decimal"/>
      <w:lvlText w:val="%4."/>
      <w:lvlJc w:val="left"/>
      <w:pPr>
        <w:ind w:left="4425" w:hanging="360"/>
      </w:pPr>
    </w:lvl>
    <w:lvl w:ilvl="4" w:tplc="04070019" w:tentative="1">
      <w:start w:val="1"/>
      <w:numFmt w:val="lowerLetter"/>
      <w:lvlText w:val="%5."/>
      <w:lvlJc w:val="left"/>
      <w:pPr>
        <w:ind w:left="5145" w:hanging="360"/>
      </w:pPr>
    </w:lvl>
    <w:lvl w:ilvl="5" w:tplc="0407001B" w:tentative="1">
      <w:start w:val="1"/>
      <w:numFmt w:val="lowerRoman"/>
      <w:lvlText w:val="%6."/>
      <w:lvlJc w:val="right"/>
      <w:pPr>
        <w:ind w:left="5865" w:hanging="180"/>
      </w:pPr>
    </w:lvl>
    <w:lvl w:ilvl="6" w:tplc="0407000F" w:tentative="1">
      <w:start w:val="1"/>
      <w:numFmt w:val="decimal"/>
      <w:lvlText w:val="%7."/>
      <w:lvlJc w:val="left"/>
      <w:pPr>
        <w:ind w:left="6585" w:hanging="360"/>
      </w:pPr>
    </w:lvl>
    <w:lvl w:ilvl="7" w:tplc="04070019" w:tentative="1">
      <w:start w:val="1"/>
      <w:numFmt w:val="lowerLetter"/>
      <w:lvlText w:val="%8."/>
      <w:lvlJc w:val="left"/>
      <w:pPr>
        <w:ind w:left="7305" w:hanging="360"/>
      </w:pPr>
    </w:lvl>
    <w:lvl w:ilvl="8" w:tplc="0407001B" w:tentative="1">
      <w:start w:val="1"/>
      <w:numFmt w:val="lowerRoman"/>
      <w:lvlText w:val="%9."/>
      <w:lvlJc w:val="right"/>
      <w:pPr>
        <w:ind w:left="802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7"/>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468"/>
    <w:rsid w:val="0001439B"/>
    <w:rsid w:val="000208B8"/>
    <w:rsid w:val="00033397"/>
    <w:rsid w:val="00040095"/>
    <w:rsid w:val="00043453"/>
    <w:rsid w:val="0005470A"/>
    <w:rsid w:val="000548D8"/>
    <w:rsid w:val="00054A5E"/>
    <w:rsid w:val="00063210"/>
    <w:rsid w:val="000701D5"/>
    <w:rsid w:val="00071ED9"/>
    <w:rsid w:val="00080512"/>
    <w:rsid w:val="0008477F"/>
    <w:rsid w:val="00084D39"/>
    <w:rsid w:val="00090468"/>
    <w:rsid w:val="000A304E"/>
    <w:rsid w:val="000A4CDF"/>
    <w:rsid w:val="000B6171"/>
    <w:rsid w:val="000B7BCF"/>
    <w:rsid w:val="000C522B"/>
    <w:rsid w:val="000D58AB"/>
    <w:rsid w:val="000E10B1"/>
    <w:rsid w:val="000E1CE5"/>
    <w:rsid w:val="000E3352"/>
    <w:rsid w:val="000E6919"/>
    <w:rsid w:val="000F7489"/>
    <w:rsid w:val="00110810"/>
    <w:rsid w:val="00111346"/>
    <w:rsid w:val="00111482"/>
    <w:rsid w:val="001114DF"/>
    <w:rsid w:val="00130366"/>
    <w:rsid w:val="00145075"/>
    <w:rsid w:val="001459FF"/>
    <w:rsid w:val="00153446"/>
    <w:rsid w:val="0015715A"/>
    <w:rsid w:val="001706FB"/>
    <w:rsid w:val="00170929"/>
    <w:rsid w:val="001710F0"/>
    <w:rsid w:val="00171A56"/>
    <w:rsid w:val="00172334"/>
    <w:rsid w:val="001741A0"/>
    <w:rsid w:val="00174C17"/>
    <w:rsid w:val="00181CD1"/>
    <w:rsid w:val="001830E8"/>
    <w:rsid w:val="00194CD0"/>
    <w:rsid w:val="001A11D2"/>
    <w:rsid w:val="001B49C9"/>
    <w:rsid w:val="001B67B5"/>
    <w:rsid w:val="001E6F9E"/>
    <w:rsid w:val="001F168B"/>
    <w:rsid w:val="001F296C"/>
    <w:rsid w:val="001F7831"/>
    <w:rsid w:val="00204045"/>
    <w:rsid w:val="00207831"/>
    <w:rsid w:val="00213E0C"/>
    <w:rsid w:val="00225BC6"/>
    <w:rsid w:val="0022606D"/>
    <w:rsid w:val="0023304D"/>
    <w:rsid w:val="002514EA"/>
    <w:rsid w:val="00254511"/>
    <w:rsid w:val="00265240"/>
    <w:rsid w:val="00267DFA"/>
    <w:rsid w:val="0027202F"/>
    <w:rsid w:val="002747EC"/>
    <w:rsid w:val="002855BF"/>
    <w:rsid w:val="002914B7"/>
    <w:rsid w:val="002B0889"/>
    <w:rsid w:val="002C2B21"/>
    <w:rsid w:val="002F0D22"/>
    <w:rsid w:val="002F6193"/>
    <w:rsid w:val="00300B1C"/>
    <w:rsid w:val="0030554E"/>
    <w:rsid w:val="003172DC"/>
    <w:rsid w:val="00317BEB"/>
    <w:rsid w:val="00326069"/>
    <w:rsid w:val="0032735A"/>
    <w:rsid w:val="003315C0"/>
    <w:rsid w:val="0035462D"/>
    <w:rsid w:val="00357A40"/>
    <w:rsid w:val="00373A16"/>
    <w:rsid w:val="00385425"/>
    <w:rsid w:val="0038701C"/>
    <w:rsid w:val="003914E3"/>
    <w:rsid w:val="003B40AD"/>
    <w:rsid w:val="003B65D0"/>
    <w:rsid w:val="003C4E37"/>
    <w:rsid w:val="003C7742"/>
    <w:rsid w:val="003D33C7"/>
    <w:rsid w:val="003D5BE3"/>
    <w:rsid w:val="003E16BE"/>
    <w:rsid w:val="003E1C4C"/>
    <w:rsid w:val="003E2320"/>
    <w:rsid w:val="003E3665"/>
    <w:rsid w:val="003E5584"/>
    <w:rsid w:val="003F4F4C"/>
    <w:rsid w:val="003F5DD6"/>
    <w:rsid w:val="00401855"/>
    <w:rsid w:val="004061DA"/>
    <w:rsid w:val="00413AF6"/>
    <w:rsid w:val="004312E9"/>
    <w:rsid w:val="0043687D"/>
    <w:rsid w:val="00446044"/>
    <w:rsid w:val="00451984"/>
    <w:rsid w:val="00453A95"/>
    <w:rsid w:val="00467FA7"/>
    <w:rsid w:val="00477455"/>
    <w:rsid w:val="004816C0"/>
    <w:rsid w:val="0048281C"/>
    <w:rsid w:val="0048576F"/>
    <w:rsid w:val="00485F0D"/>
    <w:rsid w:val="004A6398"/>
    <w:rsid w:val="004B5973"/>
    <w:rsid w:val="004C1A67"/>
    <w:rsid w:val="004C2467"/>
    <w:rsid w:val="004D3578"/>
    <w:rsid w:val="004D380D"/>
    <w:rsid w:val="004D4D0D"/>
    <w:rsid w:val="004E213A"/>
    <w:rsid w:val="004F48A6"/>
    <w:rsid w:val="004F66A5"/>
    <w:rsid w:val="004F6709"/>
    <w:rsid w:val="004F6A2E"/>
    <w:rsid w:val="00503171"/>
    <w:rsid w:val="00506C28"/>
    <w:rsid w:val="005119FF"/>
    <w:rsid w:val="00534DA0"/>
    <w:rsid w:val="00535ADC"/>
    <w:rsid w:val="00536D5C"/>
    <w:rsid w:val="00540B04"/>
    <w:rsid w:val="00543E6C"/>
    <w:rsid w:val="00550B5C"/>
    <w:rsid w:val="0055394C"/>
    <w:rsid w:val="005562AD"/>
    <w:rsid w:val="00565087"/>
    <w:rsid w:val="0056573F"/>
    <w:rsid w:val="00585536"/>
    <w:rsid w:val="00592CEC"/>
    <w:rsid w:val="00594A9B"/>
    <w:rsid w:val="005A0A37"/>
    <w:rsid w:val="005B4DAE"/>
    <w:rsid w:val="005D1799"/>
    <w:rsid w:val="005E5979"/>
    <w:rsid w:val="005E7F67"/>
    <w:rsid w:val="006079D0"/>
    <w:rsid w:val="006111B8"/>
    <w:rsid w:val="00611566"/>
    <w:rsid w:val="0061173C"/>
    <w:rsid w:val="006160D3"/>
    <w:rsid w:val="00622E84"/>
    <w:rsid w:val="00635854"/>
    <w:rsid w:val="006360A4"/>
    <w:rsid w:val="00646D99"/>
    <w:rsid w:val="00652E7A"/>
    <w:rsid w:val="00656910"/>
    <w:rsid w:val="006801BD"/>
    <w:rsid w:val="0068615A"/>
    <w:rsid w:val="00692AA9"/>
    <w:rsid w:val="006A1A19"/>
    <w:rsid w:val="006C66D8"/>
    <w:rsid w:val="006D0686"/>
    <w:rsid w:val="006D1E24"/>
    <w:rsid w:val="006D2498"/>
    <w:rsid w:val="006D5FDE"/>
    <w:rsid w:val="006E1417"/>
    <w:rsid w:val="006E4BDF"/>
    <w:rsid w:val="006F6A2C"/>
    <w:rsid w:val="00701144"/>
    <w:rsid w:val="00702BB8"/>
    <w:rsid w:val="00707A07"/>
    <w:rsid w:val="00717685"/>
    <w:rsid w:val="00734A5B"/>
    <w:rsid w:val="00744E76"/>
    <w:rsid w:val="00757D40"/>
    <w:rsid w:val="0076134D"/>
    <w:rsid w:val="00774223"/>
    <w:rsid w:val="00781F0F"/>
    <w:rsid w:val="00784AFC"/>
    <w:rsid w:val="0078727C"/>
    <w:rsid w:val="0079049D"/>
    <w:rsid w:val="00791A85"/>
    <w:rsid w:val="007951F2"/>
    <w:rsid w:val="007A1451"/>
    <w:rsid w:val="007B18D8"/>
    <w:rsid w:val="007C095F"/>
    <w:rsid w:val="007C3CE9"/>
    <w:rsid w:val="007E14EA"/>
    <w:rsid w:val="007F1876"/>
    <w:rsid w:val="008028A4"/>
    <w:rsid w:val="00803242"/>
    <w:rsid w:val="00804423"/>
    <w:rsid w:val="00813245"/>
    <w:rsid w:val="0081516B"/>
    <w:rsid w:val="00824B05"/>
    <w:rsid w:val="0083389A"/>
    <w:rsid w:val="00847826"/>
    <w:rsid w:val="00856EFB"/>
    <w:rsid w:val="00860033"/>
    <w:rsid w:val="00871D6C"/>
    <w:rsid w:val="008721FC"/>
    <w:rsid w:val="008768CA"/>
    <w:rsid w:val="00877EF9"/>
    <w:rsid w:val="00880559"/>
    <w:rsid w:val="008916B1"/>
    <w:rsid w:val="008934FE"/>
    <w:rsid w:val="008A48BD"/>
    <w:rsid w:val="008B5306"/>
    <w:rsid w:val="008B62D9"/>
    <w:rsid w:val="008C5703"/>
    <w:rsid w:val="008C6280"/>
    <w:rsid w:val="008D2E5C"/>
    <w:rsid w:val="008F48DD"/>
    <w:rsid w:val="00901281"/>
    <w:rsid w:val="0090271F"/>
    <w:rsid w:val="009029E2"/>
    <w:rsid w:val="00902DB9"/>
    <w:rsid w:val="00903914"/>
    <w:rsid w:val="0090466A"/>
    <w:rsid w:val="00922E27"/>
    <w:rsid w:val="00936071"/>
    <w:rsid w:val="00937B4B"/>
    <w:rsid w:val="00940212"/>
    <w:rsid w:val="00940490"/>
    <w:rsid w:val="00942EC2"/>
    <w:rsid w:val="009434F3"/>
    <w:rsid w:val="0095272E"/>
    <w:rsid w:val="009538FC"/>
    <w:rsid w:val="0095787F"/>
    <w:rsid w:val="00961B32"/>
    <w:rsid w:val="00963431"/>
    <w:rsid w:val="00972DB2"/>
    <w:rsid w:val="00974BB0"/>
    <w:rsid w:val="009779BE"/>
    <w:rsid w:val="00980108"/>
    <w:rsid w:val="00994342"/>
    <w:rsid w:val="00995B08"/>
    <w:rsid w:val="009A0AF3"/>
    <w:rsid w:val="009A5257"/>
    <w:rsid w:val="009B07CD"/>
    <w:rsid w:val="009C19E9"/>
    <w:rsid w:val="009C7965"/>
    <w:rsid w:val="009D1EC3"/>
    <w:rsid w:val="009E09C5"/>
    <w:rsid w:val="009E0AA1"/>
    <w:rsid w:val="009E6694"/>
    <w:rsid w:val="009E6A86"/>
    <w:rsid w:val="009E7B1A"/>
    <w:rsid w:val="009F63FD"/>
    <w:rsid w:val="00A10F02"/>
    <w:rsid w:val="00A204CA"/>
    <w:rsid w:val="00A31AF9"/>
    <w:rsid w:val="00A354AB"/>
    <w:rsid w:val="00A37B2A"/>
    <w:rsid w:val="00A46CDD"/>
    <w:rsid w:val="00A526F5"/>
    <w:rsid w:val="00A53724"/>
    <w:rsid w:val="00A53B91"/>
    <w:rsid w:val="00A57E29"/>
    <w:rsid w:val="00A6731B"/>
    <w:rsid w:val="00A7640C"/>
    <w:rsid w:val="00A81497"/>
    <w:rsid w:val="00A8151C"/>
    <w:rsid w:val="00A82346"/>
    <w:rsid w:val="00A90537"/>
    <w:rsid w:val="00A9671C"/>
    <w:rsid w:val="00AA1177"/>
    <w:rsid w:val="00AA1553"/>
    <w:rsid w:val="00AC76DC"/>
    <w:rsid w:val="00AE00E1"/>
    <w:rsid w:val="00AE06E7"/>
    <w:rsid w:val="00B02677"/>
    <w:rsid w:val="00B10C4E"/>
    <w:rsid w:val="00B15449"/>
    <w:rsid w:val="00B1684F"/>
    <w:rsid w:val="00B26E8B"/>
    <w:rsid w:val="00B47FD1"/>
    <w:rsid w:val="00B516BB"/>
    <w:rsid w:val="00B63686"/>
    <w:rsid w:val="00B66788"/>
    <w:rsid w:val="00B84651"/>
    <w:rsid w:val="00BA4D0C"/>
    <w:rsid w:val="00BE7171"/>
    <w:rsid w:val="00C12B51"/>
    <w:rsid w:val="00C216F1"/>
    <w:rsid w:val="00C24650"/>
    <w:rsid w:val="00C33079"/>
    <w:rsid w:val="00C34A61"/>
    <w:rsid w:val="00C35EA2"/>
    <w:rsid w:val="00C36733"/>
    <w:rsid w:val="00C55069"/>
    <w:rsid w:val="00C6415F"/>
    <w:rsid w:val="00C7524C"/>
    <w:rsid w:val="00C75627"/>
    <w:rsid w:val="00C83A13"/>
    <w:rsid w:val="00C83E34"/>
    <w:rsid w:val="00C85FC4"/>
    <w:rsid w:val="00C92967"/>
    <w:rsid w:val="00C93A46"/>
    <w:rsid w:val="00CA3D0C"/>
    <w:rsid w:val="00CA4252"/>
    <w:rsid w:val="00CA53CF"/>
    <w:rsid w:val="00CA6173"/>
    <w:rsid w:val="00CA654B"/>
    <w:rsid w:val="00CB4752"/>
    <w:rsid w:val="00CC782A"/>
    <w:rsid w:val="00CD469D"/>
    <w:rsid w:val="00CD4C7B"/>
    <w:rsid w:val="00CF4954"/>
    <w:rsid w:val="00D00565"/>
    <w:rsid w:val="00D02189"/>
    <w:rsid w:val="00D05F37"/>
    <w:rsid w:val="00D06148"/>
    <w:rsid w:val="00D10AA2"/>
    <w:rsid w:val="00D30EF6"/>
    <w:rsid w:val="00D33DB5"/>
    <w:rsid w:val="00D37888"/>
    <w:rsid w:val="00D64E11"/>
    <w:rsid w:val="00D738D6"/>
    <w:rsid w:val="00D7756A"/>
    <w:rsid w:val="00D80795"/>
    <w:rsid w:val="00D81EDE"/>
    <w:rsid w:val="00D8623E"/>
    <w:rsid w:val="00D87E00"/>
    <w:rsid w:val="00D9134D"/>
    <w:rsid w:val="00D969C7"/>
    <w:rsid w:val="00D96D11"/>
    <w:rsid w:val="00DA7A03"/>
    <w:rsid w:val="00DB1818"/>
    <w:rsid w:val="00DB2709"/>
    <w:rsid w:val="00DB36AF"/>
    <w:rsid w:val="00DC309B"/>
    <w:rsid w:val="00DC4DA2"/>
    <w:rsid w:val="00DD796F"/>
    <w:rsid w:val="00DE5C6A"/>
    <w:rsid w:val="00DF7F4F"/>
    <w:rsid w:val="00E02BA9"/>
    <w:rsid w:val="00E0708D"/>
    <w:rsid w:val="00E20B00"/>
    <w:rsid w:val="00E341FD"/>
    <w:rsid w:val="00E4335C"/>
    <w:rsid w:val="00E5497D"/>
    <w:rsid w:val="00E62835"/>
    <w:rsid w:val="00E645F1"/>
    <w:rsid w:val="00E77645"/>
    <w:rsid w:val="00E80BD4"/>
    <w:rsid w:val="00E83697"/>
    <w:rsid w:val="00EA0F04"/>
    <w:rsid w:val="00EC4A25"/>
    <w:rsid w:val="00EE2E06"/>
    <w:rsid w:val="00EF1786"/>
    <w:rsid w:val="00EF18B2"/>
    <w:rsid w:val="00EF3046"/>
    <w:rsid w:val="00EF564B"/>
    <w:rsid w:val="00EF773D"/>
    <w:rsid w:val="00F025A2"/>
    <w:rsid w:val="00F07388"/>
    <w:rsid w:val="00F1320C"/>
    <w:rsid w:val="00F2026E"/>
    <w:rsid w:val="00F2210A"/>
    <w:rsid w:val="00F23501"/>
    <w:rsid w:val="00F23DE4"/>
    <w:rsid w:val="00F37743"/>
    <w:rsid w:val="00F5434E"/>
    <w:rsid w:val="00F547B7"/>
    <w:rsid w:val="00F54A3D"/>
    <w:rsid w:val="00F563EA"/>
    <w:rsid w:val="00F5711E"/>
    <w:rsid w:val="00F62115"/>
    <w:rsid w:val="00F653B8"/>
    <w:rsid w:val="00F6568D"/>
    <w:rsid w:val="00F701D3"/>
    <w:rsid w:val="00F71B89"/>
    <w:rsid w:val="00F7353C"/>
    <w:rsid w:val="00F76F8F"/>
    <w:rsid w:val="00F85FA5"/>
    <w:rsid w:val="00F93650"/>
    <w:rsid w:val="00F957D2"/>
    <w:rsid w:val="00F958E3"/>
    <w:rsid w:val="00F967FA"/>
    <w:rsid w:val="00F97826"/>
    <w:rsid w:val="00FA1266"/>
    <w:rsid w:val="00FA1B27"/>
    <w:rsid w:val="00FC1192"/>
    <w:rsid w:val="00FC43F4"/>
    <w:rsid w:val="00FC7725"/>
    <w:rsid w:val="00FE09FF"/>
    <w:rsid w:val="00FF44D5"/>
    <w:rsid w:val="00FF67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7110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357A4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357A40"/>
    <w:rPr>
      <w:rFonts w:ascii="Arial" w:eastAsia="MS Mincho" w:hAnsi="Arial"/>
      <w:szCs w:val="24"/>
    </w:rPr>
  </w:style>
  <w:style w:type="paragraph" w:styleId="ListParagraph">
    <w:name w:val="List Paragraph"/>
    <w:basedOn w:val="Normal"/>
    <w:uiPriority w:val="34"/>
    <w:qFormat/>
    <w:rsid w:val="0023304D"/>
    <w:pPr>
      <w:ind w:left="720"/>
      <w:contextualSpacing/>
    </w:pPr>
  </w:style>
  <w:style w:type="character" w:styleId="PlaceholderText">
    <w:name w:val="Placeholder Text"/>
    <w:basedOn w:val="DefaultParagraphFont"/>
    <w:uiPriority w:val="99"/>
    <w:semiHidden/>
    <w:rsid w:val="00317BEB"/>
    <w:rPr>
      <w:color w:val="808080"/>
    </w:rPr>
  </w:style>
  <w:style w:type="paragraph" w:styleId="Caption">
    <w:name w:val="caption"/>
    <w:basedOn w:val="Normal"/>
    <w:next w:val="Normal"/>
    <w:unhideWhenUsed/>
    <w:qFormat/>
    <w:rsid w:val="009029E2"/>
    <w:pPr>
      <w:spacing w:after="200"/>
    </w:pPr>
    <w:rPr>
      <w:i/>
      <w:iCs/>
      <w:color w:val="44546A" w:themeColor="text2"/>
      <w:sz w:val="18"/>
      <w:szCs w:val="18"/>
    </w:rPr>
  </w:style>
  <w:style w:type="character" w:customStyle="1" w:styleId="FooterChar">
    <w:name w:val="Footer Char"/>
    <w:basedOn w:val="DefaultParagraphFont"/>
    <w:link w:val="Footer"/>
    <w:uiPriority w:val="99"/>
    <w:rsid w:val="00A526F5"/>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716498">
      <w:bodyDiv w:val="1"/>
      <w:marLeft w:val="0"/>
      <w:marRight w:val="0"/>
      <w:marTop w:val="0"/>
      <w:marBottom w:val="0"/>
      <w:divBdr>
        <w:top w:val="none" w:sz="0" w:space="0" w:color="auto"/>
        <w:left w:val="none" w:sz="0" w:space="0" w:color="auto"/>
        <w:bottom w:val="none" w:sz="0" w:space="0" w:color="auto"/>
        <w:right w:val="none" w:sz="0" w:space="0" w:color="auto"/>
      </w:divBdr>
    </w:div>
    <w:div w:id="1300571768">
      <w:bodyDiv w:val="1"/>
      <w:marLeft w:val="0"/>
      <w:marRight w:val="0"/>
      <w:marTop w:val="0"/>
      <w:marBottom w:val="0"/>
      <w:divBdr>
        <w:top w:val="none" w:sz="0" w:space="0" w:color="auto"/>
        <w:left w:val="none" w:sz="0" w:space="0" w:color="auto"/>
        <w:bottom w:val="none" w:sz="0" w:space="0" w:color="auto"/>
        <w:right w:val="none" w:sz="0" w:space="0" w:color="auto"/>
      </w:divBdr>
      <w:divsChild>
        <w:div w:id="1389375607">
          <w:marLeft w:val="100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SP-5AIRPNAIUNRU-859666464-52</_dlc_DocId>
    <Information xmlns="3b34c8f0-1ef5-4d1e-bb66-517ce7fe7356" xsi:nil="true"/>
    <_dlc_DocIdUrl xmlns="71c5aaf6-e6ce-465b-b873-5148d2a4c105">
      <Url>https://nokia.sharepoint.com/sites/c5g/e2earch/_layouts/15/DocIdRedir.aspx?ID=SP-5AIRPNAIUNRU-859666464-52</Url>
      <Description>SP-5AIRPNAIUNRU-859666464-52</Description>
    </_dlc_DocIdUrl>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33D52-7AAF-4FE6-B5F3-05ED14123D8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52AEFE2-C882-4722-AF11-CEA2368CF53A}">
  <ds:schemaRefs>
    <ds:schemaRef ds:uri="http://schemas.microsoft.com/sharepoint/v3/contenttype/forms"/>
  </ds:schemaRefs>
</ds:datastoreItem>
</file>

<file path=customXml/itemProps3.xml><?xml version="1.0" encoding="utf-8"?>
<ds:datastoreItem xmlns:ds="http://schemas.openxmlformats.org/officeDocument/2006/customXml" ds:itemID="{6DDA0CF7-9318-45BE-A4ED-8EE0BFCF5E88}">
  <ds:schemaRefs>
    <ds:schemaRef ds:uri="http://schemas.microsoft.com/sharepoint/events"/>
  </ds:schemaRefs>
</ds:datastoreItem>
</file>

<file path=customXml/itemProps4.xml><?xml version="1.0" encoding="utf-8"?>
<ds:datastoreItem xmlns:ds="http://schemas.openxmlformats.org/officeDocument/2006/customXml" ds:itemID="{8829AE54-14C2-4AD8-A045-459853DD1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E65888-058B-452D-9B0C-4B38366E7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5</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12592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Ali, Amaanat (Nokia - FI/Espoo)</cp:lastModifiedBy>
  <cp:revision>371</cp:revision>
  <dcterms:created xsi:type="dcterms:W3CDTF">2017-03-13T08:04:00Z</dcterms:created>
  <dcterms:modified xsi:type="dcterms:W3CDTF">2017-03-25T07:57:00Z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0829bdb1-980f-49ff-abf0-0c8cbb2bc309</vt:lpwstr>
  </property>
  <property fmtid="{D5CDD505-2E9C-101B-9397-08002B2CF9AE}" pid="3" name="ContentTypeId">
    <vt:lpwstr>0x01010054371E7EC0F13943B87F9D9F2BE005B3</vt:lpwstr>
  </property>
</Properties>
</file>